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hAnsi="华文中宋" w:eastAsia="方正小标宋简体" w:cs="华文中宋"/>
          <w:color w:val="000000"/>
          <w:sz w:val="36"/>
          <w:szCs w:val="36"/>
        </w:rPr>
      </w:pPr>
      <w:r>
        <w:rPr>
          <w:rFonts w:hint="eastAsia" w:ascii="宋体" w:hAnsi="宋体" w:cs="Times New Roman"/>
          <w:b/>
          <w:sz w:val="32"/>
          <w:szCs w:val="32"/>
        </w:rPr>
        <w:t>团体标准编制说明</w:t>
      </w:r>
    </w:p>
    <w:tbl>
      <w:tblPr>
        <w:tblStyle w:val="4"/>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885"/>
        <w:gridCol w:w="3582"/>
        <w:gridCol w:w="1200"/>
        <w:gridCol w:w="1610"/>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614" w:type="dxa"/>
            <w:gridSpan w:val="2"/>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标准名称</w:t>
            </w:r>
          </w:p>
        </w:tc>
        <w:tc>
          <w:tcPr>
            <w:tcW w:w="7957" w:type="dxa"/>
            <w:gridSpan w:val="4"/>
            <w:vAlign w:val="center"/>
          </w:tcPr>
          <w:p>
            <w:pPr>
              <w:widowControl/>
              <w:tabs>
                <w:tab w:val="center" w:pos="4201"/>
                <w:tab w:val="right" w:leader="dot" w:pos="9298"/>
              </w:tabs>
              <w:autoSpaceDE w:val="0"/>
              <w:autoSpaceDN w:val="0"/>
              <w:adjustRightInd w:val="0"/>
              <w:rPr>
                <w:rFonts w:ascii="宋体" w:cs="Times New Roman"/>
                <w:kern w:val="0"/>
              </w:rPr>
            </w:pPr>
            <w:r>
              <w:rPr>
                <w:rFonts w:hint="eastAsia" w:ascii="宋体" w:cs="Times New Roman"/>
                <w:kern w:val="0"/>
              </w:rPr>
              <w:t>磷酸盐类矿物土壤稳定化材料加工技术规范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614" w:type="dxa"/>
            <w:gridSpan w:val="2"/>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任务来源</w:t>
            </w:r>
          </w:p>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（项目计划号）</w:t>
            </w:r>
          </w:p>
        </w:tc>
        <w:tc>
          <w:tcPr>
            <w:tcW w:w="7957" w:type="dxa"/>
            <w:gridSpan w:val="4"/>
            <w:vAlign w:val="center"/>
          </w:tcPr>
          <w:p>
            <w:pPr>
              <w:widowControl/>
              <w:tabs>
                <w:tab w:val="center" w:pos="4201"/>
                <w:tab w:val="right" w:leader="dot" w:pos="9298"/>
              </w:tabs>
              <w:autoSpaceDE w:val="0"/>
              <w:autoSpaceDN w:val="0"/>
              <w:rPr>
                <w:rFonts w:ascii="仿宋_GB2312" w:hAnsi="宋体" w:eastAsia="仿宋_GB2312" w:cs="Times New Roman"/>
                <w:color w:val="000000"/>
                <w:kern w:val="0"/>
                <w:sz w:val="32"/>
                <w:szCs w:val="32"/>
              </w:rPr>
            </w:pPr>
            <w:r>
              <w:rPr>
                <w:rFonts w:hint="eastAsia" w:ascii="宋体" w:cs="Times New Roman"/>
                <w:kern w:val="0"/>
              </w:rPr>
              <w:t>国家重点研发专项，场地土壤多金属污染长效稳定修复功能材料制备（2020YFC1808000）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4" w:type="dxa"/>
            <w:gridSpan w:val="2"/>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负责起草单位</w:t>
            </w:r>
          </w:p>
        </w:tc>
        <w:tc>
          <w:tcPr>
            <w:tcW w:w="7957" w:type="dxa"/>
            <w:gridSpan w:val="4"/>
            <w:vAlign w:val="center"/>
          </w:tcPr>
          <w:p>
            <w:pPr>
              <w:widowControl/>
              <w:tabs>
                <w:tab w:val="center" w:pos="4201"/>
                <w:tab w:val="right" w:leader="dot" w:pos="9298"/>
              </w:tabs>
              <w:autoSpaceDE w:val="0"/>
              <w:autoSpaceDN w:val="0"/>
              <w:adjustRightInd w:val="0"/>
              <w:rPr>
                <w:rFonts w:ascii="宋体" w:cs="Times New Roman"/>
                <w:kern w:val="0"/>
              </w:rPr>
            </w:pPr>
            <w:r>
              <w:rPr>
                <w:rFonts w:hint="eastAsia" w:ascii="宋体" w:cs="Times New Roman"/>
                <w:kern w:val="0"/>
              </w:rPr>
              <w:t>南京农业大学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614" w:type="dxa"/>
            <w:gridSpan w:val="2"/>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单位地址</w:t>
            </w:r>
          </w:p>
        </w:tc>
        <w:tc>
          <w:tcPr>
            <w:tcW w:w="7957" w:type="dxa"/>
            <w:gridSpan w:val="4"/>
            <w:vAlign w:val="center"/>
          </w:tcPr>
          <w:p>
            <w:pPr>
              <w:widowControl/>
              <w:tabs>
                <w:tab w:val="center" w:pos="4201"/>
                <w:tab w:val="right" w:leader="dot" w:pos="9298"/>
              </w:tabs>
              <w:autoSpaceDE w:val="0"/>
              <w:autoSpaceDN w:val="0"/>
              <w:adjustRightInd w:val="0"/>
              <w:rPr>
                <w:rFonts w:ascii="宋体" w:cs="Times New Roman"/>
                <w:kern w:val="0"/>
              </w:rPr>
            </w:pPr>
            <w:r>
              <w:rPr>
                <w:rFonts w:hint="eastAsia" w:ascii="宋体" w:cs="Times New Roman"/>
                <w:kern w:val="0"/>
              </w:rPr>
              <w:t>江苏省南京市玄武区孝陵卫街道卫岗1号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614" w:type="dxa"/>
            <w:gridSpan w:val="2"/>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参与起草单位</w:t>
            </w:r>
          </w:p>
        </w:tc>
        <w:tc>
          <w:tcPr>
            <w:tcW w:w="7957" w:type="dxa"/>
            <w:gridSpan w:val="4"/>
            <w:vAlign w:val="center"/>
          </w:tcPr>
          <w:p>
            <w:pPr>
              <w:widowControl/>
              <w:tabs>
                <w:tab w:val="center" w:pos="4201"/>
                <w:tab w:val="right" w:leader="dot" w:pos="9298"/>
              </w:tabs>
              <w:autoSpaceDE w:val="0"/>
              <w:autoSpaceDN w:val="0"/>
              <w:adjustRightInd w:val="0"/>
              <w:rPr>
                <w:rFonts w:ascii="宋体" w:cs="Times New Roman"/>
                <w:kern w:val="0"/>
              </w:rPr>
            </w:pPr>
            <w:r>
              <w:rPr>
                <w:rFonts w:hint="eastAsia" w:ascii="宋体" w:cs="Times New Roman"/>
                <w:kern w:val="0"/>
              </w:rPr>
              <w:t>南京理工大学、中国电力工程顾问集团华北电力设计院有限公司、南京宁粮生物工程有限公司、江苏博恩环境工程成套设备有限公司、中电环保股份有限公司、清华大学、南京大学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jc w:val="center"/>
              <w:rPr>
                <w:rFonts w:ascii="宋体" w:cs="Times New Roman"/>
                <w:b/>
                <w:bCs/>
                <w:kern w:val="0"/>
              </w:rPr>
            </w:pPr>
            <w:r>
              <w:rPr>
                <w:rFonts w:hint="eastAsia" w:ascii="宋体" w:hAnsi="宋体" w:cs="宋体"/>
                <w:b/>
                <w:bCs/>
                <w:kern w:val="0"/>
              </w:rPr>
              <w:t>标准起草人</w:t>
            </w:r>
            <w:bookmarkStart w:id="30" w:name="_GoBack"/>
            <w:bookmarkEnd w:id="30"/>
          </w:p>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（全部起草人，应与标准文本前言中起草人排序一致）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序号</w:t>
            </w:r>
          </w:p>
        </w:tc>
        <w:tc>
          <w:tcPr>
            <w:tcW w:w="885"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姓名</w:t>
            </w:r>
          </w:p>
        </w:tc>
        <w:tc>
          <w:tcPr>
            <w:tcW w:w="3582"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单位</w:t>
            </w:r>
          </w:p>
        </w:tc>
        <w:tc>
          <w:tcPr>
            <w:tcW w:w="1200"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职务</w:t>
            </w:r>
          </w:p>
        </w:tc>
        <w:tc>
          <w:tcPr>
            <w:tcW w:w="1610"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职称</w:t>
            </w:r>
          </w:p>
        </w:tc>
        <w:tc>
          <w:tcPr>
            <w:tcW w:w="1565" w:type="dxa"/>
            <w:vAlign w:val="center"/>
          </w:tcPr>
          <w:p>
            <w:pPr>
              <w:widowControl/>
              <w:tabs>
                <w:tab w:val="center" w:pos="4201"/>
                <w:tab w:val="right" w:leader="dot" w:pos="9298"/>
              </w:tabs>
              <w:autoSpaceDE w:val="0"/>
              <w:autoSpaceDN w:val="0"/>
              <w:adjustRightInd w:val="0"/>
              <w:jc w:val="center"/>
              <w:rPr>
                <w:rFonts w:ascii="宋体" w:cs="Times New Roman"/>
                <w:kern w:val="0"/>
              </w:rPr>
            </w:pPr>
            <w:r>
              <w:rPr>
                <w:rFonts w:hint="eastAsia" w:ascii="宋体" w:hAnsi="宋体" w:cs="宋体"/>
                <w:kern w:val="0"/>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pPr>
            <w:r>
              <w:rPr>
                <w:rFonts w:hint="eastAsia"/>
              </w:rPr>
              <w:t>1</w:t>
            </w:r>
          </w:p>
        </w:tc>
        <w:tc>
          <w:tcPr>
            <w:tcW w:w="885" w:type="dxa"/>
            <w:vAlign w:val="center"/>
          </w:tcPr>
          <w:p>
            <w:pPr>
              <w:pStyle w:val="8"/>
              <w:spacing w:line="360" w:lineRule="auto"/>
              <w:ind w:firstLine="0" w:firstLineChars="0"/>
              <w:rPr>
                <w:rFonts w:ascii="Times New Roman" w:hAnsi="宋体" w:cs="Calibri"/>
                <w:kern w:val="2"/>
                <w:szCs w:val="22"/>
              </w:rPr>
            </w:pPr>
            <w:r>
              <w:rPr>
                <w:rFonts w:hint="eastAsia" w:ascii="Times New Roman" w:hAnsi="宋体" w:cs="Calibri"/>
                <w:kern w:val="2"/>
                <w:szCs w:val="22"/>
              </w:rPr>
              <w:t>李真</w:t>
            </w:r>
          </w:p>
        </w:tc>
        <w:tc>
          <w:tcPr>
            <w:tcW w:w="3582" w:type="dxa"/>
            <w:vAlign w:val="center"/>
          </w:tcPr>
          <w:p>
            <w:pPr>
              <w:pStyle w:val="8"/>
              <w:spacing w:line="360" w:lineRule="auto"/>
              <w:ind w:firstLine="0" w:firstLineChars="0"/>
              <w:jc w:val="center"/>
              <w:rPr>
                <w:rFonts w:hAnsi="宋体"/>
                <w:color w:val="000000"/>
                <w:szCs w:val="22"/>
              </w:rPr>
            </w:pPr>
            <w:r>
              <w:rPr>
                <w:rFonts w:hint="eastAsia" w:hAnsi="宋体"/>
                <w:color w:val="000000"/>
                <w:szCs w:val="22"/>
              </w:rPr>
              <w:t>南京农业大学</w:t>
            </w:r>
          </w:p>
        </w:tc>
        <w:tc>
          <w:tcPr>
            <w:tcW w:w="1200" w:type="dxa"/>
            <w:vAlign w:val="center"/>
          </w:tcPr>
          <w:p>
            <w:pPr>
              <w:pStyle w:val="8"/>
              <w:spacing w:line="360" w:lineRule="auto"/>
              <w:ind w:firstLine="0" w:firstLineChars="0"/>
              <w:jc w:val="center"/>
              <w:rPr>
                <w:rFonts w:ascii="Times New Roman" w:hAnsi="宋体" w:cs="Calibri"/>
                <w:color w:val="000000"/>
                <w:kern w:val="2"/>
                <w:szCs w:val="22"/>
              </w:rPr>
            </w:pPr>
            <w:r>
              <w:rPr>
                <w:rFonts w:hint="eastAsia" w:ascii="Times New Roman" w:hAnsi="宋体" w:cs="Calibri"/>
                <w:color w:val="000000"/>
                <w:kern w:val="2"/>
                <w:szCs w:val="22"/>
              </w:rPr>
              <w:t>副所长</w:t>
            </w: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副教授</w:t>
            </w:r>
          </w:p>
        </w:tc>
        <w:tc>
          <w:tcPr>
            <w:tcW w:w="1565" w:type="dxa"/>
            <w:vAlign w:val="center"/>
          </w:tcPr>
          <w:p>
            <w:pPr>
              <w:pStyle w:val="8"/>
              <w:spacing w:line="360" w:lineRule="auto"/>
              <w:ind w:firstLine="0" w:firstLineChars="0"/>
              <w:rPr>
                <w:rFonts w:ascii="Times New Roman"/>
                <w:color w:val="000000"/>
                <w:kern w:val="2"/>
                <w:szCs w:val="22"/>
              </w:rPr>
            </w:pPr>
            <w:r>
              <w:rPr>
                <w:rFonts w:ascii="Times New Roman"/>
                <w:color w:val="000000"/>
                <w:kern w:val="2"/>
                <w:szCs w:val="22"/>
              </w:rPr>
              <w:t>13913044306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pPr>
            <w:r>
              <w:rPr>
                <w:rFonts w:hint="eastAsia"/>
              </w:rPr>
              <w:t>2</w:t>
            </w:r>
          </w:p>
        </w:tc>
        <w:tc>
          <w:tcPr>
            <w:tcW w:w="885" w:type="dxa"/>
            <w:vAlign w:val="center"/>
          </w:tcPr>
          <w:p>
            <w:pPr>
              <w:pStyle w:val="8"/>
              <w:spacing w:line="360" w:lineRule="auto"/>
              <w:ind w:firstLine="0" w:firstLineChars="0"/>
              <w:rPr>
                <w:rFonts w:ascii="Times New Roman" w:hAnsi="宋体" w:cs="Calibri"/>
                <w:kern w:val="2"/>
                <w:szCs w:val="22"/>
              </w:rPr>
            </w:pPr>
            <w:r>
              <w:rPr>
                <w:rFonts w:hint="eastAsia" w:ascii="Times New Roman" w:hAnsi="宋体" w:cs="Calibri"/>
                <w:kern w:val="2"/>
                <w:szCs w:val="22"/>
              </w:rPr>
              <w:t>施逸啸</w:t>
            </w:r>
          </w:p>
        </w:tc>
        <w:tc>
          <w:tcPr>
            <w:tcW w:w="3582" w:type="dxa"/>
            <w:vAlign w:val="center"/>
          </w:tcPr>
          <w:p>
            <w:pPr>
              <w:pStyle w:val="8"/>
              <w:spacing w:line="360" w:lineRule="auto"/>
              <w:ind w:firstLine="0" w:firstLineChars="0"/>
              <w:jc w:val="center"/>
              <w:rPr>
                <w:rFonts w:ascii="Times New Roman" w:hAnsi="宋体" w:cs="Calibri"/>
                <w:color w:val="000000"/>
                <w:kern w:val="2"/>
                <w:szCs w:val="22"/>
              </w:rPr>
            </w:pPr>
            <w:r>
              <w:rPr>
                <w:rFonts w:hint="eastAsia" w:ascii="Times New Roman" w:hAnsi="宋体" w:cs="Calibri"/>
                <w:color w:val="000000"/>
                <w:kern w:val="2"/>
                <w:szCs w:val="22"/>
              </w:rPr>
              <w:t>南京农业大学</w:t>
            </w:r>
          </w:p>
        </w:tc>
        <w:tc>
          <w:tcPr>
            <w:tcW w:w="1200" w:type="dxa"/>
            <w:vAlign w:val="center"/>
          </w:tcPr>
          <w:p>
            <w:pPr>
              <w:pStyle w:val="8"/>
              <w:spacing w:line="360" w:lineRule="auto"/>
              <w:ind w:firstLine="0" w:firstLineChars="0"/>
              <w:jc w:val="center"/>
              <w:rPr>
                <w:rFonts w:ascii="Times New Roman" w:hAnsi="宋体" w:cs="Calibri"/>
                <w:color w:val="000000"/>
                <w:kern w:val="2"/>
                <w:szCs w:val="22"/>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研究生</w:t>
            </w:r>
          </w:p>
        </w:tc>
        <w:tc>
          <w:tcPr>
            <w:tcW w:w="1565" w:type="dxa"/>
            <w:vAlign w:val="center"/>
          </w:tcPr>
          <w:p>
            <w:pPr>
              <w:pStyle w:val="8"/>
              <w:spacing w:line="360" w:lineRule="auto"/>
              <w:ind w:firstLine="0" w:firstLineChars="0"/>
              <w:rPr>
                <w:rFonts w:ascii="Times New Roman"/>
                <w:color w:val="000000"/>
                <w:kern w:val="2"/>
                <w:szCs w:val="22"/>
              </w:rPr>
            </w:pPr>
            <w:r>
              <w:rPr>
                <w:rFonts w:ascii="Times New Roman"/>
                <w:color w:val="000000"/>
                <w:kern w:val="2"/>
                <w:szCs w:val="22"/>
              </w:rPr>
              <w:t>13951830130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pPr>
            <w:r>
              <w:rPr>
                <w:rFonts w:hint="eastAsia"/>
              </w:rPr>
              <w:t>3</w:t>
            </w:r>
          </w:p>
        </w:tc>
        <w:tc>
          <w:tcPr>
            <w:tcW w:w="885"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余丹</w:t>
            </w:r>
          </w:p>
        </w:tc>
        <w:tc>
          <w:tcPr>
            <w:tcW w:w="3582" w:type="dxa"/>
            <w:vAlign w:val="center"/>
          </w:tcPr>
          <w:p>
            <w:pPr>
              <w:pStyle w:val="8"/>
              <w:spacing w:line="360" w:lineRule="auto"/>
              <w:ind w:firstLine="0" w:firstLineChars="0"/>
              <w:jc w:val="center"/>
              <w:rPr>
                <w:rFonts w:hAnsi="宋体"/>
                <w:color w:val="000000"/>
                <w:szCs w:val="22"/>
              </w:rPr>
            </w:pPr>
            <w:r>
              <w:rPr>
                <w:rFonts w:hint="eastAsia" w:hAnsi="宋体"/>
                <w:color w:val="000000"/>
                <w:szCs w:val="22"/>
              </w:rPr>
              <w:t>中国电力工程顾问集团华北电力设计院有限公司</w:t>
            </w:r>
          </w:p>
        </w:tc>
        <w:tc>
          <w:tcPr>
            <w:tcW w:w="1200" w:type="dxa"/>
            <w:vAlign w:val="center"/>
          </w:tcPr>
          <w:p>
            <w:pPr>
              <w:pStyle w:val="8"/>
              <w:spacing w:line="360" w:lineRule="auto"/>
              <w:ind w:firstLine="0" w:firstLineChars="0"/>
              <w:jc w:val="center"/>
              <w:rPr>
                <w:rFonts w:ascii="Times New Roman" w:hAnsi="宋体" w:cs="Calibri"/>
                <w:color w:val="000000"/>
                <w:kern w:val="2"/>
                <w:szCs w:val="22"/>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高级工程师</w:t>
            </w:r>
          </w:p>
        </w:tc>
        <w:tc>
          <w:tcPr>
            <w:tcW w:w="1565" w:type="dxa"/>
            <w:vAlign w:val="center"/>
          </w:tcPr>
          <w:p>
            <w:pPr>
              <w:pStyle w:val="8"/>
              <w:spacing w:line="360" w:lineRule="auto"/>
              <w:ind w:firstLine="0" w:firstLineChars="0"/>
              <w:rPr>
                <w:rFonts w:ascii="Times New Roman"/>
                <w:color w:val="000000"/>
                <w:szCs w:val="21"/>
              </w:rPr>
            </w:pPr>
            <w:r>
              <w:rPr>
                <w:rFonts w:hint="eastAsia" w:ascii="Times New Roman"/>
                <w:color w:val="000000"/>
                <w:szCs w:val="21"/>
              </w:rPr>
              <w:t>13651098834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pPr>
            <w:r>
              <w:rPr>
                <w:rFonts w:hint="eastAsia"/>
              </w:rPr>
              <w:t>4</w:t>
            </w:r>
          </w:p>
        </w:tc>
        <w:tc>
          <w:tcPr>
            <w:tcW w:w="885"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陈颢明</w:t>
            </w:r>
          </w:p>
        </w:tc>
        <w:tc>
          <w:tcPr>
            <w:tcW w:w="3582" w:type="dxa"/>
            <w:vAlign w:val="center"/>
          </w:tcPr>
          <w:p>
            <w:pPr>
              <w:pStyle w:val="8"/>
              <w:spacing w:line="360" w:lineRule="auto"/>
              <w:ind w:firstLine="0" w:firstLineChars="0"/>
              <w:jc w:val="center"/>
              <w:rPr>
                <w:rFonts w:ascii="Times New Roman" w:hAnsi="宋体" w:cs="Calibri"/>
                <w:color w:val="000000"/>
                <w:kern w:val="2"/>
                <w:szCs w:val="22"/>
              </w:rPr>
            </w:pPr>
            <w:r>
              <w:rPr>
                <w:rFonts w:hint="eastAsia" w:ascii="Times New Roman" w:hAnsi="宋体" w:cs="Calibri"/>
                <w:color w:val="000000"/>
                <w:kern w:val="2"/>
                <w:szCs w:val="22"/>
              </w:rPr>
              <w:t>南京理工大学</w:t>
            </w:r>
          </w:p>
        </w:tc>
        <w:tc>
          <w:tcPr>
            <w:tcW w:w="1200" w:type="dxa"/>
            <w:vAlign w:val="center"/>
          </w:tcPr>
          <w:p>
            <w:pPr>
              <w:pStyle w:val="8"/>
              <w:spacing w:line="360" w:lineRule="auto"/>
              <w:ind w:firstLine="0" w:firstLineChars="0"/>
              <w:jc w:val="center"/>
              <w:rPr>
                <w:rFonts w:ascii="Times New Roman" w:hAnsi="宋体" w:cs="Calibri"/>
                <w:color w:val="000000"/>
                <w:kern w:val="2"/>
                <w:szCs w:val="22"/>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讲师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15105185117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pPr>
            <w:r>
              <w:rPr>
                <w:rFonts w:hint="eastAsia"/>
              </w:rPr>
              <w:t>5</w:t>
            </w:r>
          </w:p>
        </w:tc>
        <w:tc>
          <w:tcPr>
            <w:tcW w:w="885" w:type="dxa"/>
            <w:vAlign w:val="center"/>
          </w:tcPr>
          <w:p>
            <w:pPr>
              <w:pStyle w:val="8"/>
              <w:spacing w:line="360" w:lineRule="auto"/>
              <w:ind w:firstLine="0" w:firstLineChars="0"/>
              <w:rPr>
                <w:rFonts w:ascii="Times New Roman" w:hAnsi="宋体" w:cs="Calibri"/>
                <w:kern w:val="2"/>
                <w:szCs w:val="22"/>
              </w:rPr>
            </w:pPr>
            <w:r>
              <w:rPr>
                <w:rFonts w:hint="eastAsia" w:ascii="Times New Roman" w:hAnsi="宋体" w:cs="Calibri"/>
                <w:kern w:val="2"/>
                <w:szCs w:val="22"/>
              </w:rPr>
              <w:t>梁晓辉</w:t>
            </w:r>
          </w:p>
        </w:tc>
        <w:tc>
          <w:tcPr>
            <w:tcW w:w="3582" w:type="dxa"/>
            <w:vAlign w:val="center"/>
          </w:tcPr>
          <w:p>
            <w:pPr>
              <w:pStyle w:val="8"/>
              <w:spacing w:line="360" w:lineRule="auto"/>
              <w:ind w:firstLine="0" w:firstLineChars="0"/>
              <w:jc w:val="center"/>
              <w:rPr>
                <w:rFonts w:hAnsi="宋体"/>
                <w:color w:val="000000"/>
                <w:szCs w:val="22"/>
              </w:rPr>
            </w:pPr>
            <w:r>
              <w:rPr>
                <w:rFonts w:hint="eastAsia" w:hAnsi="宋体"/>
                <w:color w:val="000000"/>
                <w:szCs w:val="22"/>
              </w:rPr>
              <w:t>南京宁粮生物工程有限公司</w:t>
            </w:r>
          </w:p>
        </w:tc>
        <w:tc>
          <w:tcPr>
            <w:tcW w:w="1200" w:type="dxa"/>
            <w:vAlign w:val="center"/>
          </w:tcPr>
          <w:p>
            <w:pPr>
              <w:pStyle w:val="8"/>
              <w:spacing w:line="360" w:lineRule="auto"/>
              <w:ind w:firstLine="0" w:firstLineChars="0"/>
              <w:jc w:val="center"/>
              <w:rPr>
                <w:rFonts w:ascii="Times New Roman" w:hAnsi="宋体" w:cs="Calibri"/>
                <w:color w:val="000000"/>
                <w:kern w:val="2"/>
                <w:szCs w:val="22"/>
              </w:rPr>
            </w:pPr>
            <w:r>
              <w:rPr>
                <w:rFonts w:hint="eastAsia" w:ascii="Times New Roman" w:hAnsi="宋体" w:cs="Calibri"/>
                <w:color w:val="000000"/>
                <w:kern w:val="2"/>
                <w:szCs w:val="22"/>
              </w:rPr>
              <w:t>总经理</w:t>
            </w: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研究员</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13813978426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6</w:t>
            </w:r>
          </w:p>
        </w:tc>
        <w:tc>
          <w:tcPr>
            <w:tcW w:w="885" w:type="dxa"/>
            <w:vAlign w:val="center"/>
          </w:tcPr>
          <w:p>
            <w:pPr>
              <w:pStyle w:val="8"/>
              <w:spacing w:line="360" w:lineRule="auto"/>
              <w:ind w:firstLine="0" w:firstLineChars="0"/>
              <w:rPr>
                <w:rFonts w:hAnsi="宋体"/>
                <w:szCs w:val="21"/>
              </w:rPr>
            </w:pPr>
            <w:r>
              <w:rPr>
                <w:rFonts w:hint="eastAsia" w:hAnsi="宋体"/>
                <w:szCs w:val="21"/>
              </w:rPr>
              <w:t>刘玉安</w:t>
            </w:r>
          </w:p>
        </w:tc>
        <w:tc>
          <w:tcPr>
            <w:tcW w:w="3582" w:type="dxa"/>
            <w:vAlign w:val="center"/>
          </w:tcPr>
          <w:p>
            <w:pPr>
              <w:pStyle w:val="8"/>
              <w:spacing w:line="360" w:lineRule="auto"/>
              <w:ind w:firstLine="0" w:firstLineChars="0"/>
              <w:jc w:val="center"/>
              <w:rPr>
                <w:rFonts w:hAnsi="宋体"/>
                <w:color w:val="000000"/>
              </w:rPr>
            </w:pPr>
            <w:r>
              <w:rPr>
                <w:rFonts w:hint="eastAsia"/>
              </w:rPr>
              <w:t>江苏博恩环境工程成套设备有限公司</w:t>
            </w:r>
          </w:p>
        </w:tc>
        <w:tc>
          <w:tcPr>
            <w:tcW w:w="1200"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总工程师</w:t>
            </w: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高级工程师</w:t>
            </w:r>
          </w:p>
        </w:tc>
        <w:tc>
          <w:tcPr>
            <w:tcW w:w="1565" w:type="dxa"/>
            <w:vAlign w:val="center"/>
          </w:tcPr>
          <w:p>
            <w:pPr>
              <w:pStyle w:val="8"/>
              <w:spacing w:line="360" w:lineRule="auto"/>
              <w:ind w:firstLine="0" w:firstLineChars="0"/>
              <w:rPr>
                <w:rFonts w:ascii="Times New Roman"/>
                <w:color w:val="000000"/>
                <w:szCs w:val="21"/>
              </w:rPr>
            </w:pPr>
            <w:r>
              <w:rPr>
                <w:rFonts w:ascii="Times New Roman"/>
              </w:rPr>
              <w:t>13851702546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7</w:t>
            </w:r>
          </w:p>
        </w:tc>
        <w:tc>
          <w:tcPr>
            <w:tcW w:w="885" w:type="dxa"/>
            <w:vAlign w:val="center"/>
          </w:tcPr>
          <w:p>
            <w:pPr>
              <w:pStyle w:val="8"/>
              <w:spacing w:line="360" w:lineRule="auto"/>
              <w:ind w:firstLine="0" w:firstLineChars="0"/>
            </w:pPr>
            <w:r>
              <w:rPr>
                <w:rFonts w:hint="eastAsia"/>
              </w:rPr>
              <w:t>贾宁</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中国电力工程顾问集团华北电力设计院有限公司</w:t>
            </w:r>
          </w:p>
        </w:tc>
        <w:tc>
          <w:tcPr>
            <w:tcW w:w="1200" w:type="dxa"/>
            <w:vAlign w:val="center"/>
          </w:tcPr>
          <w:p>
            <w:pPr>
              <w:pStyle w:val="8"/>
              <w:spacing w:line="360" w:lineRule="auto"/>
              <w:ind w:firstLine="0" w:firstLineChars="0"/>
              <w:jc w:val="center"/>
              <w:rPr>
                <w:rFonts w:hAnsi="宋体"/>
                <w:color w:val="000000"/>
                <w:szCs w:val="21"/>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正高级工程师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13241816728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8</w:t>
            </w:r>
          </w:p>
        </w:tc>
        <w:tc>
          <w:tcPr>
            <w:tcW w:w="885" w:type="dxa"/>
            <w:vAlign w:val="center"/>
          </w:tcPr>
          <w:p>
            <w:pPr>
              <w:pStyle w:val="8"/>
              <w:spacing w:line="360" w:lineRule="auto"/>
              <w:ind w:firstLine="0" w:firstLineChars="0"/>
            </w:pPr>
            <w:r>
              <w:rPr>
                <w:rFonts w:hint="eastAsia"/>
              </w:rPr>
              <w:t>朱来松</w:t>
            </w:r>
          </w:p>
        </w:tc>
        <w:tc>
          <w:tcPr>
            <w:tcW w:w="3582" w:type="dxa"/>
            <w:vAlign w:val="center"/>
          </w:tcPr>
          <w:p>
            <w:pPr>
              <w:pStyle w:val="8"/>
              <w:spacing w:line="360" w:lineRule="auto"/>
              <w:ind w:firstLine="0" w:firstLineChars="0"/>
              <w:jc w:val="center"/>
              <w:rPr>
                <w:rFonts w:hAnsi="宋体"/>
                <w:color w:val="000000"/>
              </w:rPr>
            </w:pPr>
            <w:r>
              <w:rPr>
                <w:rFonts w:hint="eastAsia"/>
              </w:rPr>
              <w:t>中电环保股份有限公司</w:t>
            </w:r>
          </w:p>
        </w:tc>
        <w:tc>
          <w:tcPr>
            <w:tcW w:w="1200"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副总裁</w:t>
            </w: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高级工程师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13951029302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9</w:t>
            </w:r>
          </w:p>
        </w:tc>
        <w:tc>
          <w:tcPr>
            <w:tcW w:w="885" w:type="dxa"/>
            <w:vAlign w:val="center"/>
          </w:tcPr>
          <w:p>
            <w:pPr>
              <w:pStyle w:val="8"/>
              <w:spacing w:line="360" w:lineRule="auto"/>
              <w:ind w:firstLine="0" w:firstLineChars="0"/>
            </w:pPr>
            <w:r>
              <w:rPr>
                <w:rFonts w:hint="eastAsia"/>
              </w:rPr>
              <w:t>张雨轩</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中国电力工程顾问集团华北电力设计院有限公司</w:t>
            </w:r>
          </w:p>
        </w:tc>
        <w:tc>
          <w:tcPr>
            <w:tcW w:w="1200"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研发总监</w:t>
            </w: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研究员</w:t>
            </w:r>
          </w:p>
        </w:tc>
        <w:tc>
          <w:tcPr>
            <w:tcW w:w="1565" w:type="dxa"/>
            <w:vAlign w:val="center"/>
          </w:tcPr>
          <w:p>
            <w:pPr>
              <w:pStyle w:val="8"/>
              <w:spacing w:line="360" w:lineRule="auto"/>
              <w:ind w:firstLine="0" w:firstLineChars="0"/>
              <w:rPr>
                <w:rFonts w:ascii="Times New Roman"/>
                <w:color w:val="000000"/>
                <w:szCs w:val="21"/>
              </w:rPr>
            </w:pPr>
            <w:r>
              <w:rPr>
                <w:rFonts w:hint="eastAsia" w:ascii="Times New Roman"/>
                <w:color w:val="000000"/>
                <w:szCs w:val="21"/>
              </w:rPr>
              <w:t>18751909170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Ansi="宋体"/>
                <w:color w:val="000000"/>
                <w:szCs w:val="21"/>
              </w:rPr>
              <w:t>10</w:t>
            </w:r>
          </w:p>
        </w:tc>
        <w:tc>
          <w:tcPr>
            <w:tcW w:w="885" w:type="dxa"/>
            <w:vAlign w:val="center"/>
          </w:tcPr>
          <w:p>
            <w:pPr>
              <w:pStyle w:val="8"/>
              <w:spacing w:line="360" w:lineRule="auto"/>
              <w:ind w:firstLine="0" w:firstLineChars="0"/>
            </w:pPr>
            <w:r>
              <w:rPr>
                <w:rFonts w:hint="eastAsia"/>
              </w:rPr>
              <w:t>贾丽</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中国电力工程顾问集团华北电力设计院有限公司</w:t>
            </w:r>
          </w:p>
        </w:tc>
        <w:tc>
          <w:tcPr>
            <w:tcW w:w="1200" w:type="dxa"/>
            <w:vAlign w:val="center"/>
          </w:tcPr>
          <w:p>
            <w:pPr>
              <w:pStyle w:val="8"/>
              <w:spacing w:line="360" w:lineRule="auto"/>
              <w:ind w:firstLine="0" w:firstLineChars="0"/>
              <w:jc w:val="center"/>
              <w:rPr>
                <w:rFonts w:hAnsi="宋体"/>
                <w:color w:val="000000"/>
                <w:szCs w:val="21"/>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正高级工程师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13681194269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1</w:t>
            </w:r>
            <w:r>
              <w:rPr>
                <w:rFonts w:hAnsi="宋体"/>
                <w:color w:val="000000"/>
                <w:szCs w:val="21"/>
              </w:rPr>
              <w:t>1</w:t>
            </w:r>
          </w:p>
        </w:tc>
        <w:tc>
          <w:tcPr>
            <w:tcW w:w="885" w:type="dxa"/>
            <w:vAlign w:val="center"/>
          </w:tcPr>
          <w:p>
            <w:pPr>
              <w:pStyle w:val="8"/>
              <w:spacing w:line="360" w:lineRule="auto"/>
              <w:ind w:firstLine="0" w:firstLineChars="0"/>
            </w:pPr>
            <w:r>
              <w:rPr>
                <w:rFonts w:hint="eastAsia"/>
              </w:rPr>
              <w:t>韩飞宇</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南京农业大学</w:t>
            </w:r>
          </w:p>
        </w:tc>
        <w:tc>
          <w:tcPr>
            <w:tcW w:w="1200" w:type="dxa"/>
            <w:vAlign w:val="center"/>
          </w:tcPr>
          <w:p>
            <w:pPr>
              <w:pStyle w:val="8"/>
              <w:spacing w:line="360" w:lineRule="auto"/>
              <w:ind w:firstLine="0" w:firstLineChars="0"/>
              <w:jc w:val="center"/>
              <w:rPr>
                <w:rFonts w:hAnsi="宋体"/>
                <w:color w:val="000000"/>
                <w:szCs w:val="21"/>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研究生</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17625994205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1</w:t>
            </w:r>
            <w:r>
              <w:rPr>
                <w:rFonts w:hAnsi="宋体"/>
                <w:color w:val="000000"/>
                <w:szCs w:val="21"/>
              </w:rPr>
              <w:t>2</w:t>
            </w:r>
          </w:p>
        </w:tc>
        <w:tc>
          <w:tcPr>
            <w:tcW w:w="885" w:type="dxa"/>
            <w:vAlign w:val="center"/>
          </w:tcPr>
          <w:p>
            <w:pPr>
              <w:pStyle w:val="8"/>
              <w:spacing w:line="360" w:lineRule="auto"/>
              <w:ind w:firstLine="0" w:firstLineChars="0"/>
            </w:pPr>
            <w:r>
              <w:rPr>
                <w:rFonts w:hint="eastAsia"/>
              </w:rPr>
              <w:t>侯德义</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清华大学</w:t>
            </w:r>
          </w:p>
        </w:tc>
        <w:tc>
          <w:tcPr>
            <w:tcW w:w="1200" w:type="dxa"/>
            <w:vAlign w:val="center"/>
          </w:tcPr>
          <w:p>
            <w:pPr>
              <w:pStyle w:val="8"/>
              <w:spacing w:line="360" w:lineRule="auto"/>
              <w:ind w:firstLine="0" w:firstLineChars="0"/>
              <w:jc w:val="center"/>
              <w:rPr>
                <w:rFonts w:hAnsi="宋体"/>
                <w:color w:val="000000"/>
                <w:szCs w:val="21"/>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教授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13919107667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1</w:t>
            </w:r>
            <w:r>
              <w:rPr>
                <w:rFonts w:hAnsi="宋体"/>
                <w:color w:val="000000"/>
                <w:szCs w:val="21"/>
              </w:rPr>
              <w:t>3</w:t>
            </w:r>
          </w:p>
        </w:tc>
        <w:tc>
          <w:tcPr>
            <w:tcW w:w="885" w:type="dxa"/>
            <w:vAlign w:val="center"/>
          </w:tcPr>
          <w:p>
            <w:pPr>
              <w:pStyle w:val="8"/>
              <w:spacing w:line="360" w:lineRule="auto"/>
              <w:ind w:firstLine="0" w:firstLineChars="0"/>
            </w:pPr>
            <w:r>
              <w:rPr>
                <w:rFonts w:hint="eastAsia"/>
              </w:rPr>
              <w:t>张帆</w:t>
            </w:r>
          </w:p>
        </w:tc>
        <w:tc>
          <w:tcPr>
            <w:tcW w:w="3582" w:type="dxa"/>
            <w:vAlign w:val="center"/>
          </w:tcPr>
          <w:p>
            <w:pPr>
              <w:pStyle w:val="8"/>
              <w:spacing w:line="360" w:lineRule="auto"/>
              <w:ind w:firstLine="0" w:firstLineChars="0"/>
              <w:jc w:val="center"/>
              <w:rPr>
                <w:rFonts w:hAnsi="宋体"/>
                <w:color w:val="000000"/>
              </w:rPr>
            </w:pPr>
            <w:r>
              <w:rPr>
                <w:rFonts w:hint="eastAsia"/>
              </w:rPr>
              <w:t>江苏博恩环境工程成套设备有限公司</w:t>
            </w:r>
          </w:p>
        </w:tc>
        <w:tc>
          <w:tcPr>
            <w:tcW w:w="1200" w:type="dxa"/>
            <w:vAlign w:val="center"/>
          </w:tcPr>
          <w:p>
            <w:pPr>
              <w:pStyle w:val="8"/>
              <w:spacing w:line="360" w:lineRule="auto"/>
              <w:ind w:firstLine="0" w:firstLineChars="0"/>
              <w:jc w:val="center"/>
              <w:rPr>
                <w:rFonts w:hAnsi="宋体"/>
                <w:color w:val="000000"/>
                <w:szCs w:val="21"/>
              </w:rPr>
            </w:pPr>
            <w:r>
              <w:t>研发工程师</w:t>
            </w:r>
          </w:p>
        </w:tc>
        <w:tc>
          <w:tcPr>
            <w:tcW w:w="1610" w:type="dxa"/>
            <w:vAlign w:val="center"/>
          </w:tcPr>
          <w:p>
            <w:pPr>
              <w:pStyle w:val="8"/>
              <w:spacing w:line="360" w:lineRule="auto"/>
              <w:ind w:firstLine="0" w:firstLineChars="0"/>
              <w:rPr>
                <w:rFonts w:ascii="Times New Roman" w:hAnsi="宋体" w:cs="Calibri"/>
                <w:color w:val="000000"/>
                <w:kern w:val="2"/>
                <w:szCs w:val="22"/>
              </w:rPr>
            </w:pPr>
            <w:r>
              <w:t>助理工程师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15951917659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9" w:type="dxa"/>
            <w:vAlign w:val="center"/>
          </w:tcPr>
          <w:p>
            <w:pPr>
              <w:pStyle w:val="8"/>
              <w:spacing w:line="360" w:lineRule="auto"/>
              <w:ind w:firstLine="0" w:firstLineChars="0"/>
              <w:jc w:val="center"/>
              <w:rPr>
                <w:rFonts w:hAnsi="宋体"/>
                <w:color w:val="000000"/>
                <w:szCs w:val="21"/>
              </w:rPr>
            </w:pPr>
            <w:r>
              <w:rPr>
                <w:rFonts w:hint="eastAsia" w:hAnsi="宋体"/>
                <w:color w:val="000000"/>
                <w:szCs w:val="21"/>
              </w:rPr>
              <w:t>1</w:t>
            </w:r>
            <w:r>
              <w:rPr>
                <w:rFonts w:hAnsi="宋体"/>
                <w:color w:val="000000"/>
                <w:szCs w:val="21"/>
              </w:rPr>
              <w:t>4</w:t>
            </w:r>
          </w:p>
        </w:tc>
        <w:tc>
          <w:tcPr>
            <w:tcW w:w="885" w:type="dxa"/>
            <w:vAlign w:val="center"/>
          </w:tcPr>
          <w:p>
            <w:pPr>
              <w:pStyle w:val="8"/>
              <w:spacing w:line="360" w:lineRule="auto"/>
              <w:ind w:firstLine="0" w:firstLineChars="0"/>
            </w:pPr>
            <w:r>
              <w:rPr>
                <w:rFonts w:hint="eastAsia"/>
              </w:rPr>
              <w:t>沈征涛</w:t>
            </w:r>
          </w:p>
        </w:tc>
        <w:tc>
          <w:tcPr>
            <w:tcW w:w="3582" w:type="dxa"/>
            <w:vAlign w:val="center"/>
          </w:tcPr>
          <w:p>
            <w:pPr>
              <w:pStyle w:val="8"/>
              <w:spacing w:line="360" w:lineRule="auto"/>
              <w:ind w:firstLine="0" w:firstLineChars="0"/>
              <w:jc w:val="center"/>
              <w:rPr>
                <w:rFonts w:hAnsi="宋体"/>
                <w:color w:val="000000"/>
              </w:rPr>
            </w:pPr>
            <w:r>
              <w:rPr>
                <w:rFonts w:hint="eastAsia" w:hAnsi="宋体"/>
                <w:color w:val="000000"/>
              </w:rPr>
              <w:t>南京大学</w:t>
            </w:r>
          </w:p>
        </w:tc>
        <w:tc>
          <w:tcPr>
            <w:tcW w:w="1200" w:type="dxa"/>
            <w:vAlign w:val="center"/>
          </w:tcPr>
          <w:p>
            <w:pPr>
              <w:pStyle w:val="8"/>
              <w:spacing w:line="360" w:lineRule="auto"/>
              <w:ind w:firstLine="0" w:firstLineChars="0"/>
              <w:jc w:val="center"/>
              <w:rPr>
                <w:rFonts w:hAnsi="宋体"/>
                <w:color w:val="000000"/>
                <w:szCs w:val="21"/>
              </w:rPr>
            </w:pPr>
          </w:p>
        </w:tc>
        <w:tc>
          <w:tcPr>
            <w:tcW w:w="1610" w:type="dxa"/>
            <w:vAlign w:val="center"/>
          </w:tcPr>
          <w:p>
            <w:pPr>
              <w:pStyle w:val="8"/>
              <w:spacing w:line="360" w:lineRule="auto"/>
              <w:ind w:firstLine="0" w:firstLineChars="0"/>
              <w:rPr>
                <w:rFonts w:ascii="Times New Roman" w:hAnsi="宋体" w:cs="Calibri"/>
                <w:color w:val="000000"/>
                <w:kern w:val="2"/>
                <w:szCs w:val="22"/>
              </w:rPr>
            </w:pPr>
            <w:r>
              <w:rPr>
                <w:rFonts w:hint="eastAsia" w:ascii="Times New Roman" w:hAnsi="宋体" w:cs="Calibri"/>
                <w:color w:val="000000"/>
                <w:kern w:val="2"/>
                <w:szCs w:val="22"/>
              </w:rPr>
              <w:t>副教授</w:t>
            </w:r>
          </w:p>
        </w:tc>
        <w:tc>
          <w:tcPr>
            <w:tcW w:w="1565" w:type="dxa"/>
            <w:vAlign w:val="center"/>
          </w:tcPr>
          <w:p>
            <w:pPr>
              <w:pStyle w:val="8"/>
              <w:spacing w:line="360" w:lineRule="auto"/>
              <w:ind w:firstLine="0" w:firstLineChars="0"/>
              <w:rPr>
                <w:rFonts w:ascii="Times New Roman"/>
                <w:color w:val="000000"/>
                <w:szCs w:val="21"/>
              </w:rPr>
            </w:pPr>
            <w:r>
              <w:rPr>
                <w:rFonts w:ascii="Times New Roman"/>
                <w:color w:val="000000"/>
                <w:szCs w:val="21"/>
              </w:rPr>
              <w:t>13912611000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jc w:val="center"/>
              <w:rPr>
                <w:rFonts w:ascii="宋体" w:cs="Times New Roman"/>
                <w:b/>
                <w:bCs/>
                <w:kern w:val="0"/>
              </w:rPr>
            </w:pPr>
            <w:r>
              <w:rPr>
                <w:rFonts w:hint="eastAsia" w:ascii="宋体" w:hAnsi="宋体" w:cs="宋体"/>
                <w:b/>
                <w:bCs/>
                <w:kern w:val="0"/>
              </w:rPr>
              <w:t>编制情况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ascii="宋体" w:hAnsi="宋体" w:cs="宋体"/>
                <w:kern w:val="0"/>
              </w:rPr>
              <w:t>1</w:t>
            </w:r>
            <w:r>
              <w:rPr>
                <w:rFonts w:hint="eastAsia" w:ascii="宋体" w:hAnsi="宋体" w:cs="宋体"/>
                <w:kern w:val="0"/>
              </w:rPr>
              <w:t>、编制过程简介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adjustRightInd w:val="0"/>
              <w:snapToGrid w:val="0"/>
              <w:spacing w:line="360" w:lineRule="auto"/>
              <w:rPr>
                <w:rFonts w:ascii="宋体" w:hAnsi="宋体" w:cs="宋体"/>
                <w:b/>
                <w:bCs/>
                <w:kern w:val="0"/>
              </w:rPr>
            </w:pPr>
            <w:r>
              <w:rPr>
                <w:rFonts w:hint="eastAsia" w:ascii="宋体" w:hAnsi="宋体" w:cs="宋体"/>
                <w:b/>
                <w:bCs/>
                <w:kern w:val="0"/>
              </w:rPr>
              <w:t>标准起草过程：</w:t>
            </w:r>
          </w:p>
          <w:p>
            <w:pPr>
              <w:adjustRightInd w:val="0"/>
              <w:snapToGrid w:val="0"/>
              <w:spacing w:line="360" w:lineRule="auto"/>
              <w:rPr>
                <w:rFonts w:ascii="宋体" w:hAnsi="宋体" w:cs="宋体"/>
                <w:kern w:val="0"/>
              </w:rPr>
            </w:pPr>
            <w:r>
              <w:rPr>
                <w:rFonts w:hint="eastAsia" w:ascii="宋体" w:hAnsi="宋体" w:cs="宋体"/>
                <w:kern w:val="0"/>
              </w:rPr>
              <w:t>（一）成立标准编制工作组。项目承担单位南京农业大学，于2022年</w:t>
            </w:r>
            <w:r>
              <w:rPr>
                <w:rFonts w:ascii="宋体" w:hAnsi="宋体" w:cs="宋体"/>
                <w:kern w:val="0"/>
              </w:rPr>
              <w:t>7</w:t>
            </w:r>
            <w:r>
              <w:rPr>
                <w:rFonts w:hint="eastAsia" w:ascii="宋体" w:hAnsi="宋体" w:cs="宋体"/>
                <w:kern w:val="0"/>
              </w:rPr>
              <w:t>月下旬成立标准编制组。编制组成员对磷酸盐类矿物土壤稳定化材料加工技术的有关内容进行了调研。</w:t>
            </w:r>
          </w:p>
          <w:p>
            <w:pPr>
              <w:adjustRightInd w:val="0"/>
              <w:snapToGrid w:val="0"/>
              <w:spacing w:line="360" w:lineRule="auto"/>
              <w:rPr>
                <w:rFonts w:ascii="宋体" w:hAnsi="宋体" w:cs="宋体"/>
                <w:kern w:val="0"/>
              </w:rPr>
            </w:pPr>
            <w:r>
              <w:rPr>
                <w:rFonts w:hint="eastAsia" w:ascii="宋体" w:hAnsi="宋体" w:cs="宋体"/>
                <w:kern w:val="0"/>
              </w:rPr>
              <w:t>（二）标准立项下达。2022年9月标准立项下达，经汇总讨论后，编制组确定了标准中需要规定的主要技术内容，并于2022年10月上旬完成了初稿并发送给各参与单位征求意见。</w:t>
            </w:r>
          </w:p>
          <w:p>
            <w:pPr>
              <w:adjustRightInd w:val="0"/>
              <w:snapToGrid w:val="0"/>
              <w:spacing w:line="360" w:lineRule="auto"/>
              <w:rPr>
                <w:rFonts w:ascii="宋体" w:hAnsi="宋体" w:cs="宋体"/>
                <w:kern w:val="0"/>
              </w:rPr>
            </w:pPr>
            <w:r>
              <w:rPr>
                <w:rFonts w:hint="eastAsia" w:ascii="宋体" w:hAnsi="宋体" w:cs="宋体"/>
                <w:kern w:val="0"/>
              </w:rPr>
              <w:t>（三）形成征求意见稿。202</w:t>
            </w:r>
            <w:r>
              <w:rPr>
                <w:rFonts w:ascii="宋体" w:hAnsi="宋体" w:cs="宋体"/>
                <w:kern w:val="0"/>
              </w:rPr>
              <w:t>3</w:t>
            </w:r>
            <w:r>
              <w:rPr>
                <w:rFonts w:hint="eastAsia" w:ascii="宋体" w:hAnsi="宋体" w:cs="宋体"/>
                <w:kern w:val="0"/>
              </w:rPr>
              <w:t>年</w:t>
            </w:r>
            <w:r>
              <w:rPr>
                <w:rFonts w:ascii="宋体" w:hAnsi="宋体" w:cs="宋体"/>
                <w:kern w:val="0"/>
              </w:rPr>
              <w:t>3</w:t>
            </w:r>
            <w:r>
              <w:rPr>
                <w:rFonts w:hint="eastAsia" w:ascii="宋体" w:hAnsi="宋体" w:cs="宋体"/>
                <w:kern w:val="0"/>
              </w:rPr>
              <w:t>月下旬根据在各单位反馈意见基础上，形成了标准征求意见稿并由江苏省农学会审查，提交并公开征求意见。</w:t>
            </w:r>
          </w:p>
          <w:p>
            <w:pPr>
              <w:adjustRightInd w:val="0"/>
              <w:snapToGrid w:val="0"/>
              <w:spacing w:line="360" w:lineRule="auto"/>
              <w:rPr>
                <w:rFonts w:ascii="宋体" w:hAnsi="宋体" w:cs="宋体"/>
                <w:b/>
                <w:bCs/>
                <w:kern w:val="0"/>
              </w:rPr>
            </w:pPr>
            <w:r>
              <w:rPr>
                <w:rFonts w:hint="eastAsia" w:ascii="宋体" w:hAnsi="宋体" w:cs="宋体"/>
                <w:b/>
                <w:bCs/>
                <w:kern w:val="0"/>
              </w:rPr>
              <w:t>征求意见情况：</w:t>
            </w:r>
            <w:r>
              <w:rPr>
                <w:rFonts w:hint="eastAsia" w:ascii="宋体" w:hAnsi="宋体" w:cs="宋体"/>
                <w:kern w:val="0"/>
              </w:rPr>
              <w:t>将进入征求意见阶段。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ascii="宋体" w:hAnsi="宋体" w:cs="宋体"/>
                <w:kern w:val="0"/>
              </w:rPr>
              <w:t>2</w:t>
            </w:r>
            <w:r>
              <w:rPr>
                <w:rFonts w:hint="eastAsia" w:ascii="宋体" w:hAnsi="宋体" w:cs="宋体"/>
                <w:kern w:val="0"/>
              </w:rPr>
              <w:t>、制定标准的必要性和意义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ind w:firstLine="420" w:firstLineChars="200"/>
              <w:rPr>
                <w:rFonts w:cs="Times New Roman"/>
                <w:kern w:val="0"/>
              </w:rPr>
            </w:pPr>
            <w:r>
              <w:rPr>
                <w:rFonts w:cs="Times New Roman"/>
                <w:kern w:val="0"/>
              </w:rPr>
              <w:t>目前国家和相应行业对于这类材料的质量、生产技术规范还没有切实的要求标准，虽已有与重金属修复相关的地方标准，但并没有针对用于稳定化材料的磷酸盐类矿物的相关标准。磷酸盐类矿物本身类型多样，包括地质磷灰石（氟基磷灰石）、生物磷灰石、羟基磷灰石、蓝铁矿等。目前主要聚焦在磷肥和磷化工行业。磷肥生产是磷资源消耗最大的方面，磷肥的生产在磷矿消费构成占比75% ~ 85%，但真正被土地利用的磷元素仅有10% ~ 25%。因此在磷矿的选择中，要对含磷量等指标做出标准的值域范围规定以减少开采环节的“采富弃贫”、加工环节的“优矿劣用”。在标准的规范下，产品在生产、原料制备等方面才能得到有效控制，为市场淘汰不符合规范且无法满足用户需求的产品，间接的为新产品的推广应用争取更多的生存空间。</w:t>
            </w:r>
          </w:p>
          <w:p>
            <w:pPr>
              <w:widowControl/>
              <w:tabs>
                <w:tab w:val="center" w:pos="4201"/>
                <w:tab w:val="right" w:leader="dot" w:pos="9298"/>
              </w:tabs>
              <w:autoSpaceDE w:val="0"/>
              <w:autoSpaceDN w:val="0"/>
              <w:adjustRightInd w:val="0"/>
              <w:spacing w:line="360" w:lineRule="auto"/>
              <w:ind w:firstLine="420" w:firstLineChars="200"/>
              <w:rPr>
                <w:rFonts w:cs="Times New Roman"/>
                <w:kern w:val="0"/>
              </w:rPr>
            </w:pPr>
            <w:r>
              <w:rPr>
                <w:rFonts w:cs="Times New Roman"/>
                <w:kern w:val="0"/>
              </w:rPr>
              <w:t>伴随着基于磷酸盐类矿物相关指标标准化，能有效缓解产品对环境施加的压力，减少对环境的污染，同时合理利用土地资源，维持土壤健康，实现生产技术的简化和组合的互换，为调整产品结构和产业结构创造了条件，转化难溶性元素、螯合重金属；该类稳定化材料得到推广并在市场充分流通，推动经济快速发展，扩大生产规模的同时为需求提供可能，为扩大竞争提供条件；通过该标准更充分地将各生产部门和企业内部的生产环节联系起来，保证了生产的稳定运行，实现科学化管理、提高管理效率，为后续自动化管理做铺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ascii="宋体" w:hAnsi="宋体" w:cs="宋体"/>
                <w:kern w:val="0"/>
              </w:rPr>
              <w:t>3</w:t>
            </w:r>
            <w:r>
              <w:rPr>
                <w:rFonts w:hint="eastAsia" w:ascii="宋体" w:hAnsi="宋体" w:cs="宋体"/>
                <w:kern w:val="0"/>
              </w:rPr>
              <w:t>、制定标准的原则和依据，与现行法律法规、标准的关系。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ind w:firstLine="420" w:firstLineChars="200"/>
              <w:rPr>
                <w:rFonts w:ascii="宋体" w:cs="Times New Roman"/>
                <w:kern w:val="0"/>
              </w:rPr>
            </w:pPr>
            <w:r>
              <w:rPr>
                <w:rFonts w:hint="eastAsia" w:ascii="宋体" w:cs="Times New Roman"/>
                <w:kern w:val="0"/>
              </w:rPr>
              <w:t>本文件与有关的现行法律、法规和强制性国家标准无冲突和交叉。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ascii="宋体" w:hAnsi="宋体" w:cs="宋体"/>
                <w:kern w:val="0"/>
              </w:rPr>
              <w:t>4</w:t>
            </w:r>
            <w:r>
              <w:rPr>
                <w:rFonts w:hint="eastAsia" w:ascii="宋体" w:hAnsi="宋体" w:cs="宋体"/>
                <w:kern w:val="0"/>
              </w:rPr>
              <w:t>、主要条款的说明，主要技术指标、参数、试验验证的论述（</w:t>
            </w:r>
            <w:r>
              <w:rPr>
                <w:rFonts w:hint="eastAsia" w:ascii="宋体" w:hAnsi="宋体" w:cs="宋体"/>
                <w:b/>
                <w:bCs/>
                <w:kern w:val="0"/>
              </w:rPr>
              <w:t>详细说明</w:t>
            </w:r>
            <w:r>
              <w:rPr>
                <w:rFonts w:hint="eastAsia"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pStyle w:val="8"/>
              <w:spacing w:line="360" w:lineRule="auto"/>
              <w:rPr>
                <w:rFonts w:ascii="Times New Roman"/>
              </w:rPr>
            </w:pPr>
            <w:r>
              <w:rPr>
                <w:rFonts w:ascii="Times New Roman"/>
              </w:rPr>
              <w:t>磷酸盐类矿物稳定化材料的加工需要经过原材料检测、破碎筛分、研磨、改性和包装等步骤。在这个流程体系中，对各个环节进行规范化对磷酸盐类矿物稳定化材料的生存具有重要的指导意义。磷酸盐类矿物稳定化材料利用含磷矿物研发而成，可以长效地为土壤提供磷肥，改善土壤环境并且供生物体吸收利用，在这个转化过程中其通过溶解无机磷和矿化有机磷复合物转化给植物吸收利用。磷灰石中的PO</w:t>
            </w:r>
            <w:r>
              <w:rPr>
                <w:rFonts w:ascii="Times New Roman"/>
                <w:vertAlign w:val="subscript"/>
              </w:rPr>
              <w:t>3</w:t>
            </w:r>
            <w:r>
              <w:rPr>
                <w:rFonts w:ascii="Times New Roman"/>
                <w:vertAlign w:val="superscript"/>
              </w:rPr>
              <w:t>4-</w:t>
            </w:r>
            <w:r>
              <w:rPr>
                <w:rFonts w:ascii="Times New Roman"/>
              </w:rPr>
              <w:t>能够吸附Pb</w:t>
            </w:r>
            <w:r>
              <w:rPr>
                <w:rFonts w:ascii="Times New Roman"/>
                <w:vertAlign w:val="superscript"/>
              </w:rPr>
              <w:t>2+</w:t>
            </w:r>
            <w:r>
              <w:rPr>
                <w:rFonts w:ascii="Times New Roman"/>
              </w:rPr>
              <w:t>、Cd</w:t>
            </w:r>
            <w:r>
              <w:rPr>
                <w:rFonts w:ascii="Times New Roman"/>
                <w:vertAlign w:val="superscript"/>
              </w:rPr>
              <w:t>2+</w:t>
            </w:r>
            <w:r>
              <w:rPr>
                <w:rFonts w:ascii="Times New Roman"/>
              </w:rPr>
              <w:t>等重金属阳离子并将其固定形成稳定的次生矿物，如磷氯铅镉矿(Pb,Cd)</w:t>
            </w:r>
            <w:r>
              <w:rPr>
                <w:rFonts w:ascii="Times New Roman"/>
                <w:vertAlign w:val="subscript"/>
              </w:rPr>
              <w:t>5</w:t>
            </w:r>
            <w:r>
              <w:rPr>
                <w:rFonts w:ascii="Times New Roman"/>
              </w:rPr>
              <w:t>(PO</w:t>
            </w:r>
            <w:r>
              <w:rPr>
                <w:rFonts w:ascii="Times New Roman"/>
                <w:vertAlign w:val="subscript"/>
              </w:rPr>
              <w:t>4</w:t>
            </w:r>
            <w:r>
              <w:rPr>
                <w:rFonts w:ascii="Times New Roman"/>
              </w:rPr>
              <w:t>)</w:t>
            </w:r>
            <w:r>
              <w:rPr>
                <w:rFonts w:ascii="Times New Roman"/>
                <w:vertAlign w:val="subscript"/>
              </w:rPr>
              <w:t>3</w:t>
            </w:r>
            <w:r>
              <w:rPr>
                <w:rFonts w:ascii="Times New Roman"/>
              </w:rPr>
              <w:t>X (X = F, Cl, Br, OH)，大大降低重金属的生物活性，同时也能避免产生二次污染。有研究表明，磷灰石也能吸附其他如Fe</w:t>
            </w:r>
            <w:r>
              <w:rPr>
                <w:rFonts w:ascii="Times New Roman"/>
                <w:vertAlign w:val="superscript"/>
              </w:rPr>
              <w:t>2+</w:t>
            </w:r>
            <w:r>
              <w:rPr>
                <w:rFonts w:ascii="Times New Roman"/>
              </w:rPr>
              <w:t>、Cu</w:t>
            </w:r>
            <w:r>
              <w:rPr>
                <w:rFonts w:ascii="Times New Roman"/>
                <w:vertAlign w:val="superscript"/>
              </w:rPr>
              <w:t>2+</w:t>
            </w:r>
            <w:r>
              <w:rPr>
                <w:rFonts w:ascii="Times New Roman"/>
              </w:rPr>
              <w:t>、Zn</w:t>
            </w:r>
            <w:r>
              <w:rPr>
                <w:rFonts w:ascii="Times New Roman"/>
                <w:vertAlign w:val="superscript"/>
              </w:rPr>
              <w:t>2+</w:t>
            </w:r>
            <w:r>
              <w:rPr>
                <w:rFonts w:ascii="Times New Roman"/>
              </w:rPr>
              <w:t>、Cr</w:t>
            </w:r>
            <w:r>
              <w:rPr>
                <w:rFonts w:ascii="Times New Roman"/>
                <w:vertAlign w:val="superscript"/>
              </w:rPr>
              <w:t>6+</w:t>
            </w:r>
            <w:r>
              <w:rPr>
                <w:rFonts w:ascii="Times New Roman"/>
              </w:rPr>
              <w:t>和Hg</w:t>
            </w:r>
            <w:r>
              <w:rPr>
                <w:rFonts w:ascii="Times New Roman"/>
                <w:vertAlign w:val="superscript"/>
              </w:rPr>
              <w:t>2+</w:t>
            </w:r>
            <w:r>
              <w:rPr>
                <w:rFonts w:ascii="Times New Roman"/>
              </w:rPr>
              <w:t>等重金属离子，对绝大多数重金属离子都有较好的去除效果。而目前国内土壤重金属污染物中阳离子重金属占主导，因此磷酸盐类矿物材料成为目前应用最普遍的土壤修复剂材料。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0" w:name="_Toc464902852"/>
            <w:bookmarkStart w:id="1" w:name="_Toc465074266"/>
            <w:bookmarkStart w:id="2" w:name="_Toc464905809"/>
            <w:bookmarkStart w:id="3" w:name="_Toc464905613"/>
            <w:bookmarkStart w:id="4" w:name="_Toc464905557"/>
            <w:r>
              <w:rPr>
                <w:rFonts w:ascii="宋体" w:hAnsi="宋体" w:cs="宋体"/>
                <w:kern w:val="0"/>
              </w:rPr>
              <w:t>5</w:t>
            </w:r>
            <w:r>
              <w:rPr>
                <w:rFonts w:hint="eastAsia" w:ascii="宋体" w:hAnsi="宋体" w:cs="宋体"/>
                <w:kern w:val="0"/>
              </w:rPr>
              <w:t>、标准中如果涉及专利，应有明确的知识产权说明</w:t>
            </w:r>
            <w:bookmarkEnd w:id="0"/>
            <w:bookmarkEnd w:id="1"/>
            <w:bookmarkEnd w:id="2"/>
            <w:bookmarkEnd w:id="3"/>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hint="eastAsia" w:ascii="宋体" w:cs="Times New Roman"/>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5" w:name="_Toc465074267"/>
            <w:bookmarkStart w:id="6" w:name="_Toc464905614"/>
            <w:bookmarkStart w:id="7" w:name="_Toc464905810"/>
            <w:bookmarkStart w:id="8" w:name="_Toc464902853"/>
            <w:bookmarkStart w:id="9" w:name="_Toc464905558"/>
            <w:r>
              <w:rPr>
                <w:rFonts w:ascii="宋体" w:hAnsi="宋体" w:cs="宋体"/>
                <w:kern w:val="0"/>
              </w:rPr>
              <w:t>6</w:t>
            </w:r>
            <w:r>
              <w:rPr>
                <w:rFonts w:hint="eastAsia" w:ascii="宋体" w:hAnsi="宋体" w:cs="宋体"/>
                <w:kern w:val="0"/>
              </w:rPr>
              <w:t>、采用国际标准或国外先进标准的，说明采标程度，以及国内外同类标准水平的对比情况</w:t>
            </w:r>
            <w:bookmarkEnd w:id="5"/>
            <w:bookmarkEnd w:id="6"/>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hint="eastAsia" w:ascii="宋体" w:cs="Times New Roman"/>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10" w:name="_Toc464905559"/>
            <w:bookmarkStart w:id="11" w:name="_Toc464905811"/>
            <w:bookmarkStart w:id="12" w:name="_Toc464902854"/>
            <w:bookmarkStart w:id="13" w:name="_Toc464905615"/>
            <w:bookmarkStart w:id="14" w:name="_Toc465074268"/>
            <w:r>
              <w:rPr>
                <w:rFonts w:ascii="宋体" w:hAnsi="宋体" w:cs="宋体"/>
                <w:kern w:val="0"/>
              </w:rPr>
              <w:t>7</w:t>
            </w:r>
            <w:r>
              <w:rPr>
                <w:rFonts w:hint="eastAsia" w:ascii="宋体" w:hAnsi="宋体" w:cs="宋体"/>
                <w:kern w:val="0"/>
              </w:rPr>
              <w:t>、重大分歧意见的处理经过和依据</w:t>
            </w:r>
            <w:bookmarkEnd w:id="10"/>
            <w:bookmarkEnd w:id="11"/>
            <w:bookmarkEnd w:id="12"/>
            <w:bookmarkEnd w:id="13"/>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hint="eastAsia" w:ascii="宋体" w:cs="Times New Roman"/>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15" w:name="_Toc464905812"/>
            <w:bookmarkStart w:id="16" w:name="_Toc464902855"/>
            <w:bookmarkStart w:id="17" w:name="_Toc464905616"/>
            <w:bookmarkStart w:id="18" w:name="_Toc464905560"/>
            <w:bookmarkStart w:id="19" w:name="_Toc465074269"/>
            <w:r>
              <w:rPr>
                <w:rFonts w:ascii="宋体" w:hAnsi="宋体" w:cs="宋体"/>
                <w:kern w:val="0"/>
              </w:rPr>
              <w:t>8</w:t>
            </w:r>
            <w:r>
              <w:rPr>
                <w:rFonts w:hint="eastAsia" w:ascii="宋体" w:hAnsi="宋体" w:cs="宋体"/>
                <w:kern w:val="0"/>
              </w:rPr>
              <w:t>、贯彻标准的要求和措施建议（包括组织措施、技术措施、过渡办法、实施日期等）</w:t>
            </w:r>
            <w:bookmarkEnd w:id="15"/>
            <w:bookmarkEnd w:id="16"/>
            <w:bookmarkEnd w:id="17"/>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ind w:firstLine="420" w:firstLineChars="200"/>
              <w:rPr>
                <w:rFonts w:ascii="宋体" w:cs="Times New Roman"/>
                <w:kern w:val="0"/>
              </w:rPr>
            </w:pPr>
            <w:r>
              <w:rPr>
                <w:rFonts w:hint="eastAsia" w:ascii="宋体" w:cs="Times New Roman"/>
                <w:kern w:val="0"/>
              </w:rPr>
              <w:t>建议由从事稳定化材料及其原料加工的相关行业标准化管理机构组织贯彻本标准的相关活动，利用各种活动（如工作组活动、行业协会的管理和活动、专家培训、标准化技术刊物、网上信息、产品认证等）尽可能向稳定化材料及其原料加工的行业相关单位和机构宣贯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20" w:name="_Toc464905813"/>
            <w:bookmarkStart w:id="21" w:name="_Toc464902856"/>
            <w:bookmarkStart w:id="22" w:name="_Toc465074270"/>
            <w:bookmarkStart w:id="23" w:name="_Toc464905617"/>
            <w:bookmarkStart w:id="24" w:name="_Toc464905561"/>
            <w:r>
              <w:rPr>
                <w:rFonts w:ascii="宋体" w:hAnsi="宋体" w:cs="宋体"/>
                <w:kern w:val="0"/>
              </w:rPr>
              <w:t>9</w:t>
            </w:r>
            <w:r>
              <w:rPr>
                <w:rFonts w:hint="eastAsia" w:ascii="宋体" w:hAnsi="宋体" w:cs="宋体"/>
                <w:kern w:val="0"/>
              </w:rPr>
              <w:t>、废止现行相关标准的建议</w:t>
            </w:r>
            <w:bookmarkEnd w:id="20"/>
            <w:bookmarkEnd w:id="21"/>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hint="eastAsia" w:ascii="宋体" w:cs="Times New Roman"/>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bookmarkStart w:id="25" w:name="_Toc464905814"/>
            <w:bookmarkStart w:id="26" w:name="_Toc464902857"/>
            <w:bookmarkStart w:id="27" w:name="_Toc464905562"/>
            <w:bookmarkStart w:id="28" w:name="_Toc464905618"/>
            <w:bookmarkStart w:id="29" w:name="_Toc465074271"/>
            <w:r>
              <w:rPr>
                <w:rFonts w:ascii="宋体" w:hAnsi="宋体" w:cs="宋体"/>
                <w:kern w:val="0"/>
              </w:rPr>
              <w:t>10</w:t>
            </w:r>
            <w:r>
              <w:rPr>
                <w:rFonts w:hint="eastAsia" w:ascii="宋体" w:hAnsi="宋体" w:cs="宋体"/>
                <w:kern w:val="0"/>
              </w:rPr>
              <w:t>、其它应予说明的事项</w:t>
            </w:r>
            <w:bookmarkEnd w:id="25"/>
            <w:bookmarkEnd w:id="26"/>
            <w:bookmarkEnd w:id="27"/>
            <w:bookmarkEnd w:id="28"/>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71" w:type="dxa"/>
            <w:gridSpan w:val="6"/>
            <w:vAlign w:val="center"/>
          </w:tcPr>
          <w:p>
            <w:pPr>
              <w:widowControl/>
              <w:tabs>
                <w:tab w:val="center" w:pos="4201"/>
                <w:tab w:val="right" w:leader="dot" w:pos="9298"/>
              </w:tabs>
              <w:autoSpaceDE w:val="0"/>
              <w:autoSpaceDN w:val="0"/>
              <w:adjustRightInd w:val="0"/>
              <w:spacing w:line="360" w:lineRule="auto"/>
              <w:rPr>
                <w:rFonts w:ascii="宋体" w:cs="Times New Roman"/>
                <w:kern w:val="0"/>
              </w:rPr>
            </w:pPr>
            <w:r>
              <w:rPr>
                <w:rFonts w:hint="eastAsia" w:ascii="宋体" w:cs="Times New Roman"/>
                <w:kern w:val="0"/>
              </w:rPr>
              <w:t>无</w:t>
            </w:r>
          </w:p>
        </w:tc>
      </w:tr>
    </w:tbl>
    <w:p>
      <w:pPr>
        <w:autoSpaceDE w:val="0"/>
        <w:autoSpaceDN w:val="0"/>
        <w:spacing w:line="360" w:lineRule="auto"/>
        <w:ind w:left="726" w:hanging="363"/>
      </w:pPr>
      <w:r>
        <w:rPr>
          <w:rFonts w:hint="eastAsia" w:ascii="宋体" w:cs="宋体"/>
          <w:kern w:val="0"/>
          <w:sz w:val="18"/>
          <w:szCs w:val="18"/>
        </w:rPr>
        <w:t>没有的请填写</w:t>
      </w:r>
      <w:r>
        <w:rPr>
          <w:rFonts w:ascii="宋体" w:cs="宋体"/>
          <w:kern w:val="0"/>
          <w:sz w:val="18"/>
          <w:szCs w:val="18"/>
        </w:rPr>
        <w:t xml:space="preserve"> </w:t>
      </w:r>
      <w:r>
        <w:rPr>
          <w:rFonts w:hint="eastAsia" w:ascii="宋体" w:cs="宋体"/>
          <w:kern w:val="0"/>
          <w:sz w:val="18"/>
          <w:szCs w:val="18"/>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BC8FC72-A71C-4D42-97AE-F88892179B97}"/>
  </w:font>
  <w:font w:name="方正小标宋简体">
    <w:panose1 w:val="03000509000000000000"/>
    <w:charset w:val="86"/>
    <w:family w:val="script"/>
    <w:pitch w:val="default"/>
    <w:sig w:usb0="00000001" w:usb1="080E0000" w:usb2="00000000" w:usb3="00000000" w:csb0="00040000" w:csb1="00000000"/>
    <w:embedRegular r:id="rId2" w:fontKey="{EC8FF11E-4C31-4957-912B-9EEFA7E96EB0}"/>
  </w:font>
  <w:font w:name="华文中宋">
    <w:panose1 w:val="02010600040101010101"/>
    <w:charset w:val="86"/>
    <w:family w:val="auto"/>
    <w:pitch w:val="default"/>
    <w:sig w:usb0="00000287" w:usb1="080F0000" w:usb2="00000000" w:usb3="00000000" w:csb0="0004009F" w:csb1="DFD70000"/>
    <w:embedRegular r:id="rId3" w:fontKey="{843B5F7F-A31B-46A4-AF72-9FC3C8857F51}"/>
  </w:font>
  <w:font w:name="仿宋_GB2312">
    <w:panose1 w:val="02010609030101010101"/>
    <w:charset w:val="86"/>
    <w:family w:val="modern"/>
    <w:pitch w:val="default"/>
    <w:sig w:usb0="00000001" w:usb1="080E0000" w:usb2="00000000" w:usb3="00000000" w:csb0="00040000" w:csb1="00000000"/>
    <w:embedRegular r:id="rId4" w:fontKey="{3F330918-22C0-4C75-81C7-E6546624594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3"/>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
      <w:suff w:val="nothing"/>
      <w:lvlText w:val="%1%2　"/>
      <w:lvlJc w:val="left"/>
      <w:pPr>
        <w:ind w:left="0" w:firstLine="0"/>
      </w:pPr>
      <w:rPr>
        <w:rFonts w:hint="eastAsia" w:ascii="黑体" w:eastAsia="黑体"/>
        <w:b w:val="0"/>
        <w:i w:val="0"/>
        <w:sz w:val="21"/>
      </w:rPr>
    </w:lvl>
    <w:lvl w:ilvl="2" w:tentative="0">
      <w:start w:val="1"/>
      <w:numFmt w:val="decimal"/>
      <w:pStyle w:val="1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zZDdiYTZmZWRiZjBiZjVlNjkxZmNiZTE1NjcyOWQifQ=="/>
  </w:docVars>
  <w:rsids>
    <w:rsidRoot w:val="00C674E1"/>
    <w:rsid w:val="00085EB6"/>
    <w:rsid w:val="000C3423"/>
    <w:rsid w:val="00140014"/>
    <w:rsid w:val="001E4F5F"/>
    <w:rsid w:val="001F6108"/>
    <w:rsid w:val="0029361B"/>
    <w:rsid w:val="00301E0B"/>
    <w:rsid w:val="00354B81"/>
    <w:rsid w:val="00401A95"/>
    <w:rsid w:val="004824EF"/>
    <w:rsid w:val="00617EDC"/>
    <w:rsid w:val="00664220"/>
    <w:rsid w:val="006C130C"/>
    <w:rsid w:val="006F676A"/>
    <w:rsid w:val="007260DC"/>
    <w:rsid w:val="008061AA"/>
    <w:rsid w:val="00806ACB"/>
    <w:rsid w:val="008D6119"/>
    <w:rsid w:val="00973BA3"/>
    <w:rsid w:val="009F02AE"/>
    <w:rsid w:val="00AD15FC"/>
    <w:rsid w:val="00AD5526"/>
    <w:rsid w:val="00B8722B"/>
    <w:rsid w:val="00C674E1"/>
    <w:rsid w:val="00C83162"/>
    <w:rsid w:val="00D2136D"/>
    <w:rsid w:val="00D25F5A"/>
    <w:rsid w:val="01573DBA"/>
    <w:rsid w:val="018D30F3"/>
    <w:rsid w:val="02E64AC8"/>
    <w:rsid w:val="03792E5E"/>
    <w:rsid w:val="05230DED"/>
    <w:rsid w:val="0539383A"/>
    <w:rsid w:val="05514528"/>
    <w:rsid w:val="06236DB1"/>
    <w:rsid w:val="085655E1"/>
    <w:rsid w:val="08A543EB"/>
    <w:rsid w:val="08AF3F2D"/>
    <w:rsid w:val="08D617FD"/>
    <w:rsid w:val="09BD319E"/>
    <w:rsid w:val="0AAA6F9E"/>
    <w:rsid w:val="0AD66E45"/>
    <w:rsid w:val="0AEA35B0"/>
    <w:rsid w:val="0CD645C5"/>
    <w:rsid w:val="0CFD3E7F"/>
    <w:rsid w:val="0D0F1B28"/>
    <w:rsid w:val="0D6A61BB"/>
    <w:rsid w:val="0DAB0AA4"/>
    <w:rsid w:val="0DBB6D74"/>
    <w:rsid w:val="0DBF3C28"/>
    <w:rsid w:val="0F00400A"/>
    <w:rsid w:val="0F5F6CF5"/>
    <w:rsid w:val="0FE97929"/>
    <w:rsid w:val="12AD31C8"/>
    <w:rsid w:val="13EE71B8"/>
    <w:rsid w:val="13F37238"/>
    <w:rsid w:val="17286F88"/>
    <w:rsid w:val="18054FAD"/>
    <w:rsid w:val="193458F0"/>
    <w:rsid w:val="196B3F3E"/>
    <w:rsid w:val="1B0D0F4D"/>
    <w:rsid w:val="1B1E23DB"/>
    <w:rsid w:val="1C986EE3"/>
    <w:rsid w:val="1CC3243C"/>
    <w:rsid w:val="1CE52261"/>
    <w:rsid w:val="1E392A46"/>
    <w:rsid w:val="1F5533D5"/>
    <w:rsid w:val="2307768A"/>
    <w:rsid w:val="239661CD"/>
    <w:rsid w:val="23C30C43"/>
    <w:rsid w:val="24DD69D2"/>
    <w:rsid w:val="266216E6"/>
    <w:rsid w:val="27DC6641"/>
    <w:rsid w:val="27FC77A0"/>
    <w:rsid w:val="2869208E"/>
    <w:rsid w:val="298B2A84"/>
    <w:rsid w:val="29F62977"/>
    <w:rsid w:val="2A3F63A3"/>
    <w:rsid w:val="2A9D2E5E"/>
    <w:rsid w:val="2BA00C73"/>
    <w:rsid w:val="2BD11E41"/>
    <w:rsid w:val="2C611A80"/>
    <w:rsid w:val="2C981EEE"/>
    <w:rsid w:val="2CA55E12"/>
    <w:rsid w:val="2CFE2DB6"/>
    <w:rsid w:val="2D344AA9"/>
    <w:rsid w:val="2D791627"/>
    <w:rsid w:val="2DA8044E"/>
    <w:rsid w:val="2E53539D"/>
    <w:rsid w:val="2EA619C7"/>
    <w:rsid w:val="2EDA5A31"/>
    <w:rsid w:val="2FEB038B"/>
    <w:rsid w:val="3015163F"/>
    <w:rsid w:val="322A3DE8"/>
    <w:rsid w:val="33246C76"/>
    <w:rsid w:val="34530F60"/>
    <w:rsid w:val="3516386E"/>
    <w:rsid w:val="38750966"/>
    <w:rsid w:val="390954A6"/>
    <w:rsid w:val="3AD22E11"/>
    <w:rsid w:val="3CAA1C98"/>
    <w:rsid w:val="3D493052"/>
    <w:rsid w:val="3DB962CE"/>
    <w:rsid w:val="3DCC40C1"/>
    <w:rsid w:val="3FFB6C6D"/>
    <w:rsid w:val="40B91667"/>
    <w:rsid w:val="41287D39"/>
    <w:rsid w:val="41CB03A0"/>
    <w:rsid w:val="440626FB"/>
    <w:rsid w:val="45AB06ED"/>
    <w:rsid w:val="47567017"/>
    <w:rsid w:val="48004518"/>
    <w:rsid w:val="482826D8"/>
    <w:rsid w:val="492763AB"/>
    <w:rsid w:val="49D60F36"/>
    <w:rsid w:val="49F70356"/>
    <w:rsid w:val="4AB207DA"/>
    <w:rsid w:val="4E5A2677"/>
    <w:rsid w:val="4E9B5B36"/>
    <w:rsid w:val="4F3E7D1D"/>
    <w:rsid w:val="4F923128"/>
    <w:rsid w:val="51C925B0"/>
    <w:rsid w:val="52E8647A"/>
    <w:rsid w:val="52EB5497"/>
    <w:rsid w:val="53622EFB"/>
    <w:rsid w:val="537E7BA4"/>
    <w:rsid w:val="543702FF"/>
    <w:rsid w:val="54B74173"/>
    <w:rsid w:val="54D871E5"/>
    <w:rsid w:val="55F673B0"/>
    <w:rsid w:val="56393CD9"/>
    <w:rsid w:val="57642732"/>
    <w:rsid w:val="586E7582"/>
    <w:rsid w:val="59B0656F"/>
    <w:rsid w:val="59D52A41"/>
    <w:rsid w:val="59DB54C0"/>
    <w:rsid w:val="5B9E4620"/>
    <w:rsid w:val="5BF73EA7"/>
    <w:rsid w:val="5CC47E65"/>
    <w:rsid w:val="5D112C3E"/>
    <w:rsid w:val="5D576AE7"/>
    <w:rsid w:val="5E230C6C"/>
    <w:rsid w:val="5ED20E4C"/>
    <w:rsid w:val="5FDE471C"/>
    <w:rsid w:val="602D6D59"/>
    <w:rsid w:val="61DC4FEE"/>
    <w:rsid w:val="64596D04"/>
    <w:rsid w:val="64FA7C4A"/>
    <w:rsid w:val="65B10943"/>
    <w:rsid w:val="693C7AC7"/>
    <w:rsid w:val="6A9E6D3D"/>
    <w:rsid w:val="6ABA457C"/>
    <w:rsid w:val="6B491555"/>
    <w:rsid w:val="6D03496E"/>
    <w:rsid w:val="6E2927B3"/>
    <w:rsid w:val="6EB13BE9"/>
    <w:rsid w:val="6F657C2C"/>
    <w:rsid w:val="7066500C"/>
    <w:rsid w:val="706B76C5"/>
    <w:rsid w:val="70FA32B6"/>
    <w:rsid w:val="714442A4"/>
    <w:rsid w:val="71F340D2"/>
    <w:rsid w:val="72901381"/>
    <w:rsid w:val="73DD5930"/>
    <w:rsid w:val="741248C8"/>
    <w:rsid w:val="741A2FC6"/>
    <w:rsid w:val="74861BF0"/>
    <w:rsid w:val="74AA6622"/>
    <w:rsid w:val="76F17577"/>
    <w:rsid w:val="774861B6"/>
    <w:rsid w:val="794F16E6"/>
    <w:rsid w:val="79FF3077"/>
    <w:rsid w:val="7A0F1077"/>
    <w:rsid w:val="7A322505"/>
    <w:rsid w:val="7A934F1A"/>
    <w:rsid w:val="7D1B6ABB"/>
    <w:rsid w:val="7D4D7C21"/>
    <w:rsid w:val="7D8E60CD"/>
    <w:rsid w:val="7E642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5"/>
    <w:qFormat/>
    <w:uiPriority w:val="0"/>
    <w:pPr>
      <w:tabs>
        <w:tab w:val="center" w:pos="4153"/>
        <w:tab w:val="right" w:pos="8306"/>
      </w:tabs>
      <w:snapToGrid w:val="0"/>
      <w:jc w:val="left"/>
    </w:pPr>
    <w:rPr>
      <w:sz w:val="18"/>
      <w:szCs w:val="18"/>
    </w:rPr>
  </w:style>
  <w:style w:type="paragraph" w:styleId="3">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qFormat/>
    <w:uiPriority w:val="0"/>
    <w:rPr>
      <w:color w:val="800080"/>
      <w:u w:val="single"/>
    </w:rPr>
  </w:style>
  <w:style w:type="paragraph" w:customStyle="1" w:styleId="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9">
    <w:name w:val="章标题"/>
    <w:next w:val="8"/>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10">
    <w:name w:val="二级条标题 Char"/>
    <w:basedOn w:val="11"/>
    <w:link w:val="13"/>
    <w:qFormat/>
    <w:uiPriority w:val="0"/>
    <w:rPr>
      <w:rFonts w:ascii="黑体" w:hAnsi="Times New Roman" w:eastAsia="黑体" w:cs="Times New Roman"/>
      <w:sz w:val="21"/>
      <w:szCs w:val="21"/>
      <w:lang w:val="en-US" w:eastAsia="zh-CN" w:bidi="ar-SA"/>
    </w:rPr>
  </w:style>
  <w:style w:type="character" w:customStyle="1" w:styleId="11">
    <w:name w:val="一级条标题 Char"/>
    <w:link w:val="12"/>
    <w:qFormat/>
    <w:uiPriority w:val="0"/>
    <w:rPr>
      <w:rFonts w:ascii="黑体" w:hAnsi="Times New Roman" w:eastAsia="黑体" w:cs="Times New Roman"/>
      <w:sz w:val="21"/>
      <w:szCs w:val="21"/>
      <w:lang w:val="en-US" w:eastAsia="zh-CN" w:bidi="ar-SA"/>
    </w:rPr>
  </w:style>
  <w:style w:type="paragraph" w:customStyle="1" w:styleId="12">
    <w:name w:val="一级条标题"/>
    <w:next w:val="8"/>
    <w:link w:val="11"/>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13">
    <w:name w:val="二级条标题"/>
    <w:basedOn w:val="12"/>
    <w:next w:val="8"/>
    <w:link w:val="10"/>
    <w:qFormat/>
    <w:uiPriority w:val="0"/>
    <w:pPr>
      <w:numPr>
        <w:ilvl w:val="2"/>
      </w:numPr>
      <w:tabs>
        <w:tab w:val="left" w:pos="612"/>
      </w:tabs>
      <w:spacing w:before="50" w:after="50"/>
      <w:outlineLvl w:val="3"/>
    </w:pPr>
  </w:style>
  <w:style w:type="character" w:customStyle="1" w:styleId="14">
    <w:name w:val="Header Char"/>
    <w:basedOn w:val="5"/>
    <w:link w:val="3"/>
    <w:qFormat/>
    <w:uiPriority w:val="0"/>
    <w:rPr>
      <w:rFonts w:cs="Calibri"/>
      <w:kern w:val="2"/>
      <w:sz w:val="18"/>
      <w:szCs w:val="18"/>
    </w:rPr>
  </w:style>
  <w:style w:type="character" w:customStyle="1" w:styleId="15">
    <w:name w:val="Footer Char"/>
    <w:basedOn w:val="5"/>
    <w:link w:val="2"/>
    <w:qFormat/>
    <w:uiPriority w:val="0"/>
    <w:rPr>
      <w:rFonts w:cs="Calibri"/>
      <w:kern w:val="2"/>
      <w:sz w:val="18"/>
      <w:szCs w:val="18"/>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标准文件_章标题"/>
    <w:next w:val="1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8">
    <w:name w:val="标准文件_一级条标题"/>
    <w:basedOn w:val="17"/>
    <w:next w:val="16"/>
    <w:qFormat/>
    <w:uiPriority w:val="0"/>
    <w:pPr>
      <w:numPr>
        <w:ilvl w:val="2"/>
      </w:numPr>
      <w:spacing w:before="50" w:beforeLines="50" w:after="50" w:afterLines="50"/>
      <w:outlineLvl w:val="1"/>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2082</Words>
  <Characters>2309</Characters>
  <Lines>17</Lines>
  <Paragraphs>4</Paragraphs>
  <TotalTime>132</TotalTime>
  <ScaleCrop>false</ScaleCrop>
  <LinksUpToDate>false</LinksUpToDate>
  <CharactersWithSpaces>2320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江江</cp:lastModifiedBy>
  <dcterms:modified xsi:type="dcterms:W3CDTF">2023-04-12T02:52:09Z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C6A3E2434F1441CFB2BCDE29D590628D_13</vt:lpwstr>
  </property>
</Properties>
</file>