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adjustRightInd w:val="0"/>
        <w:snapToGrid w:val="0"/>
        <w:spacing w:line="360" w:lineRule="auto"/>
        <w:jc w:val="center"/>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adjustRightInd w:val="0"/>
        <w:snapToGrid w:val="0"/>
        <w:spacing w:line="360" w:lineRule="auto"/>
        <w:jc w:val="center"/>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pStyle w:val="24"/>
      </w:pPr>
    </w:p>
    <w:p>
      <w:pPr>
        <w:rPr>
          <w:sz w:val="44"/>
          <w:szCs w:val="44"/>
        </w:rPr>
      </w:pPr>
    </w:p>
    <w:p>
      <w:pPr>
        <w:adjustRightInd w:val="0"/>
        <w:snapToGrid w:val="0"/>
        <w:spacing w:line="360" w:lineRule="auto"/>
        <w:jc w:val="center"/>
        <w:rPr>
          <w:rFonts w:ascii="Times New Roman" w:hAnsi="Times New Roman"/>
          <w:b/>
          <w:sz w:val="56"/>
          <w:szCs w:val="56"/>
        </w:rPr>
      </w:pPr>
      <w:bookmarkStart w:id="0" w:name="_Toc31315"/>
      <w:bookmarkStart w:id="1" w:name="_Toc1023"/>
      <w:r>
        <w:rPr>
          <w:rFonts w:hint="eastAsia" w:ascii="Times New Roman" w:hAnsi="Times New Roman"/>
          <w:b/>
          <w:sz w:val="56"/>
          <w:szCs w:val="56"/>
        </w:rPr>
        <w:t>煤气净化废气治理工程设计</w:t>
      </w:r>
      <w:bookmarkEnd w:id="0"/>
      <w:r>
        <w:rPr>
          <w:rFonts w:hint="eastAsia" w:ascii="Times New Roman" w:hAnsi="Times New Roman"/>
          <w:b/>
          <w:sz w:val="56"/>
          <w:szCs w:val="56"/>
        </w:rPr>
        <w:t>规范</w:t>
      </w:r>
      <w:bookmarkEnd w:id="1"/>
    </w:p>
    <w:p>
      <w:pPr>
        <w:pStyle w:val="24"/>
        <w:jc w:val="center"/>
        <w:rPr>
          <w:b/>
          <w:kern w:val="0"/>
          <w:sz w:val="24"/>
        </w:rPr>
      </w:pPr>
      <w:r>
        <w:rPr>
          <w:rFonts w:hint="eastAsia"/>
          <w:b/>
          <w:kern w:val="0"/>
          <w:sz w:val="24"/>
        </w:rPr>
        <w:t>D</w:t>
      </w:r>
      <w:r>
        <w:rPr>
          <w:b/>
          <w:kern w:val="0"/>
          <w:sz w:val="24"/>
        </w:rPr>
        <w:t>esign specification</w:t>
      </w:r>
      <w:r>
        <w:rPr>
          <w:rFonts w:hint="eastAsia"/>
          <w:b/>
          <w:kern w:val="0"/>
          <w:sz w:val="24"/>
        </w:rPr>
        <w:t xml:space="preserve">s for </w:t>
      </w:r>
      <w:r>
        <w:rPr>
          <w:b/>
          <w:kern w:val="0"/>
          <w:sz w:val="24"/>
        </w:rPr>
        <w:t xml:space="preserve">waste gas treatment </w:t>
      </w:r>
      <w:r>
        <w:rPr>
          <w:rFonts w:hint="eastAsia"/>
          <w:b/>
          <w:kern w:val="0"/>
          <w:sz w:val="24"/>
        </w:rPr>
        <w:t>of c</w:t>
      </w:r>
      <w:r>
        <w:rPr>
          <w:b/>
          <w:kern w:val="0"/>
          <w:sz w:val="24"/>
        </w:rPr>
        <w:t xml:space="preserve">oal gas </w:t>
      </w:r>
      <w:r>
        <w:rPr>
          <w:rFonts w:hint="eastAsia"/>
          <w:b/>
          <w:kern w:val="0"/>
          <w:sz w:val="24"/>
        </w:rPr>
        <w:t>p</w:t>
      </w:r>
      <w:r>
        <w:rPr>
          <w:b/>
          <w:kern w:val="0"/>
          <w:sz w:val="24"/>
        </w:rPr>
        <w:t>urification</w:t>
      </w:r>
    </w:p>
    <w:p>
      <w:pPr>
        <w:pStyle w:val="24"/>
      </w:pPr>
    </w:p>
    <w:p>
      <w:pPr>
        <w:adjustRightInd w:val="0"/>
        <w:snapToGrid w:val="0"/>
        <w:spacing w:line="360" w:lineRule="auto"/>
        <w:jc w:val="center"/>
        <w:rPr>
          <w:rFonts w:ascii="Times New Roman" w:hAnsi="Times New Roman"/>
          <w:b/>
          <w:bCs/>
          <w:color w:val="0D0D0D" w:themeColor="text1" w:themeTint="F2"/>
          <w:spacing w:val="60"/>
          <w:sz w:val="44"/>
          <w:szCs w:val="44"/>
          <w14:textFill>
            <w14:solidFill>
              <w14:schemeClr w14:val="tx1">
                <w14:lumMod w14:val="95000"/>
                <w14:lumOff w14:val="5000"/>
              </w14:schemeClr>
            </w14:solidFill>
          </w14:textFill>
        </w:rPr>
      </w:pPr>
      <w:r>
        <w:rPr>
          <w:rFonts w:hint="eastAsia" w:ascii="Times New Roman" w:hAnsi="Times New Roman"/>
          <w:b/>
          <w:bCs/>
          <w:color w:val="0D0D0D" w:themeColor="text1" w:themeTint="F2"/>
          <w:spacing w:val="60"/>
          <w:sz w:val="44"/>
          <w:szCs w:val="44"/>
          <w14:textFill>
            <w14:solidFill>
              <w14:schemeClr w14:val="tx1">
                <w14:lumMod w14:val="95000"/>
                <w14:lumOff w14:val="5000"/>
              </w14:schemeClr>
            </w14:solidFill>
          </w14:textFill>
        </w:rPr>
        <w:t>编制说明</w:t>
      </w:r>
    </w:p>
    <w:p>
      <w:pPr>
        <w:pStyle w:val="24"/>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pStyle w:val="24"/>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pStyle w:val="24"/>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pStyle w:val="24"/>
      </w:pPr>
    </w:p>
    <w:p>
      <w:pPr>
        <w:pStyle w:val="24"/>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rPr>
          <w:rFonts w:ascii="Times New Roman" w:hAnsi="Times New Roman"/>
          <w:b/>
          <w:szCs w:val="24"/>
        </w:rPr>
      </w:pPr>
    </w:p>
    <w:p>
      <w:pPr>
        <w:adjustRightInd w:val="0"/>
        <w:snapToGrid w:val="0"/>
        <w:spacing w:line="360" w:lineRule="auto"/>
        <w:rPr>
          <w:rFonts w:ascii="Times New Roman" w:hAnsi="Times New Roman"/>
          <w:b/>
          <w:szCs w:val="24"/>
        </w:rPr>
      </w:pPr>
    </w:p>
    <w:p>
      <w:pPr>
        <w:adjustRightInd w:val="0"/>
        <w:snapToGrid w:val="0"/>
        <w:spacing w:line="360" w:lineRule="auto"/>
        <w:rPr>
          <w:rFonts w:ascii="Times New Roman" w:hAnsi="Times New Roman"/>
          <w:b/>
          <w:szCs w:val="24"/>
        </w:rPr>
      </w:pPr>
    </w:p>
    <w:p>
      <w:pPr>
        <w:adjustRightInd w:val="0"/>
        <w:snapToGrid w:val="0"/>
        <w:spacing w:line="360" w:lineRule="auto"/>
        <w:jc w:val="center"/>
        <w:outlineLvl w:val="0"/>
        <w:rPr>
          <w:rFonts w:ascii="Times New Roman" w:hAnsi="Times New Roman"/>
          <w:b/>
          <w:szCs w:val="24"/>
        </w:rPr>
      </w:pPr>
      <w:bookmarkStart w:id="2" w:name="_Toc12511"/>
      <w:bookmarkStart w:id="3" w:name="_Toc16935"/>
      <w:r>
        <w:rPr>
          <w:rFonts w:hint="eastAsia" w:ascii="Times New Roman" w:hAnsi="Times New Roman"/>
          <w:b/>
          <w:szCs w:val="24"/>
        </w:rPr>
        <w:t>《煤气净化废气治理工程设计规范》编制组</w:t>
      </w:r>
      <w:bookmarkEnd w:id="2"/>
      <w:bookmarkEnd w:id="3"/>
    </w:p>
    <w:p>
      <w:pPr>
        <w:pStyle w:val="24"/>
        <w:jc w:val="center"/>
      </w:pPr>
      <w:r>
        <w:rPr>
          <w:rFonts w:hint="eastAsia" w:ascii="Times New Roman" w:hAnsi="Times New Roman"/>
          <w:b/>
          <w:szCs w:val="24"/>
        </w:rPr>
        <w:t>二零二三年十二月</w:t>
      </w:r>
    </w:p>
    <w:sdt>
      <w:sdtPr>
        <w:rPr>
          <w:rFonts w:ascii="宋体" w:hAnsi="宋体"/>
          <w:b/>
          <w:bCs/>
          <w:sz w:val="40"/>
          <w:szCs w:val="36"/>
        </w:rPr>
        <w:id w:val="147467972"/>
        <w15:color w:val="DBDBDB"/>
        <w:docPartObj>
          <w:docPartGallery w:val="Table of Contents"/>
          <w:docPartUnique/>
        </w:docPartObj>
      </w:sdtPr>
      <w:sdtEndPr>
        <w:rPr>
          <w:rFonts w:hint="eastAsia" w:asciiTheme="minorEastAsia" w:hAnsiTheme="minorEastAsia" w:eastAsiaTheme="minorEastAsia" w:cstheme="minorEastAsia"/>
          <w:b/>
          <w:bCs/>
          <w:sz w:val="24"/>
          <w:szCs w:val="24"/>
        </w:rPr>
      </w:sdtEndPr>
      <w:sdtContent>
        <w:p>
          <w:pPr>
            <w:jc w:val="center"/>
            <w:rPr>
              <w:b/>
              <w:bCs/>
              <w:sz w:val="52"/>
              <w:szCs w:val="36"/>
            </w:rPr>
          </w:pPr>
          <w:r>
            <w:rPr>
              <w:rFonts w:ascii="宋体" w:hAnsi="宋体"/>
              <w:b/>
              <w:bCs/>
              <w:sz w:val="40"/>
              <w:szCs w:val="36"/>
            </w:rPr>
            <w:t>目</w:t>
          </w:r>
          <w:r>
            <w:rPr>
              <w:rFonts w:hint="eastAsia" w:ascii="宋体" w:hAnsi="宋体"/>
              <w:b/>
              <w:bCs/>
              <w:sz w:val="40"/>
              <w:szCs w:val="36"/>
            </w:rPr>
            <w:t xml:space="preserve"> </w:t>
          </w:r>
          <w:r>
            <w:rPr>
              <w:rFonts w:ascii="宋体" w:hAnsi="宋体"/>
              <w:b/>
              <w:bCs/>
              <w:sz w:val="40"/>
              <w:szCs w:val="36"/>
            </w:rPr>
            <w:t>录</w:t>
          </w:r>
        </w:p>
        <w:p>
          <w:pPr>
            <w:pStyle w:val="14"/>
            <w:tabs>
              <w:tab w:val="right" w:leader="dot" w:pos="8306"/>
            </w:tabs>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"1-2" \h \u </w:instrText>
          </w:r>
          <w:r>
            <w:rPr>
              <w:rFonts w:hint="eastAsia" w:asciiTheme="minorEastAsia" w:hAnsiTheme="minorEastAsia" w:eastAsiaTheme="minorEastAsia" w:cstheme="minorEastAsia"/>
              <w:sz w:val="24"/>
              <w:szCs w:val="24"/>
            </w:rPr>
            <w:fldChar w:fldCharType="separate"/>
          </w:r>
        </w:p>
        <w:p>
          <w:pPr>
            <w:pStyle w:val="14"/>
            <w:tabs>
              <w:tab w:val="right" w:leader="dot" w:pos="8306"/>
            </w:tabs>
            <w:spacing w:line="360" w:lineRule="auto"/>
            <w:rPr>
              <w:rFonts w:asciiTheme="minorEastAsia" w:hAnsiTheme="minorEastAsia" w:eastAsiaTheme="minorEastAsia" w:cstheme="minorEastAsia"/>
              <w:sz w:val="24"/>
              <w:szCs w:val="24"/>
            </w:rPr>
          </w:pPr>
          <w:r>
            <w:fldChar w:fldCharType="begin"/>
          </w:r>
          <w:r>
            <w:instrText xml:space="preserve"> HYPERLINK \l "_Toc20456" </w:instrText>
          </w:r>
          <w:r>
            <w:fldChar w:fldCharType="separate"/>
          </w:r>
          <w:r>
            <w:rPr>
              <w:rFonts w:hint="eastAsia" w:asciiTheme="minorEastAsia" w:hAnsiTheme="minorEastAsia" w:eastAsiaTheme="minorEastAsia" w:cstheme="minorEastAsia"/>
              <w:sz w:val="24"/>
              <w:szCs w:val="24"/>
            </w:rPr>
            <w:t>一、项目背景</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_Toc20456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5"/>
            <w:tabs>
              <w:tab w:val="right" w:leader="dot" w:pos="8306"/>
            </w:tabs>
            <w:spacing w:line="360" w:lineRule="auto"/>
            <w:ind w:left="560"/>
            <w:rPr>
              <w:rFonts w:asciiTheme="minorEastAsia" w:hAnsiTheme="minorEastAsia" w:eastAsiaTheme="minorEastAsia" w:cstheme="minorEastAsia"/>
              <w:sz w:val="24"/>
              <w:szCs w:val="24"/>
            </w:rPr>
          </w:pPr>
          <w:r>
            <w:fldChar w:fldCharType="begin"/>
          </w:r>
          <w:r>
            <w:instrText xml:space="preserve"> HYPERLINK \l "_Toc17348" </w:instrText>
          </w:r>
          <w:r>
            <w:fldChar w:fldCharType="separate"/>
          </w:r>
          <w:r>
            <w:rPr>
              <w:rFonts w:hint="eastAsia" w:asciiTheme="minorEastAsia" w:hAnsiTheme="minorEastAsia" w:eastAsiaTheme="minorEastAsia" w:cstheme="minorEastAsia"/>
              <w:sz w:val="24"/>
              <w:szCs w:val="24"/>
            </w:rPr>
            <w:t>1.1 任务来源</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_Toc17348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5"/>
            <w:tabs>
              <w:tab w:val="right" w:leader="dot" w:pos="8306"/>
            </w:tabs>
            <w:spacing w:line="360" w:lineRule="auto"/>
            <w:ind w:left="560"/>
            <w:rPr>
              <w:rFonts w:asciiTheme="minorEastAsia" w:hAnsiTheme="minorEastAsia" w:eastAsiaTheme="minorEastAsia" w:cstheme="minorEastAsia"/>
              <w:sz w:val="24"/>
              <w:szCs w:val="24"/>
            </w:rPr>
          </w:pPr>
          <w:r>
            <w:fldChar w:fldCharType="begin"/>
          </w:r>
          <w:r>
            <w:instrText xml:space="preserve"> HYPERLINK \l "_Toc28533" </w:instrText>
          </w:r>
          <w:r>
            <w:fldChar w:fldCharType="separate"/>
          </w:r>
          <w:r>
            <w:rPr>
              <w:rFonts w:hint="eastAsia" w:asciiTheme="minorEastAsia" w:hAnsiTheme="minorEastAsia" w:eastAsiaTheme="minorEastAsia" w:cstheme="minorEastAsia"/>
              <w:sz w:val="24"/>
              <w:szCs w:val="24"/>
            </w:rPr>
            <w:t>1.2起草单位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_Toc28533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5"/>
            <w:tabs>
              <w:tab w:val="right" w:leader="dot" w:pos="8306"/>
            </w:tabs>
            <w:spacing w:line="360" w:lineRule="auto"/>
            <w:ind w:left="560"/>
            <w:rPr>
              <w:rFonts w:asciiTheme="minorEastAsia" w:hAnsiTheme="minorEastAsia" w:eastAsiaTheme="minorEastAsia" w:cstheme="minorEastAsia"/>
              <w:sz w:val="24"/>
              <w:szCs w:val="24"/>
            </w:rPr>
          </w:pPr>
          <w:r>
            <w:fldChar w:fldCharType="begin"/>
          </w:r>
          <w:r>
            <w:instrText xml:space="preserve"> HYPERLINK \l "_Toc10243" </w:instrText>
          </w:r>
          <w:r>
            <w:fldChar w:fldCharType="separate"/>
          </w:r>
          <w:r>
            <w:rPr>
              <w:rFonts w:hint="eastAsia" w:asciiTheme="minorEastAsia" w:hAnsiTheme="minorEastAsia" w:eastAsiaTheme="minorEastAsia" w:cstheme="minorEastAsia"/>
              <w:sz w:val="24"/>
              <w:szCs w:val="24"/>
            </w:rPr>
            <w:t>1.3主要起草人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_Toc10243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5"/>
            <w:tabs>
              <w:tab w:val="right" w:leader="dot" w:pos="8306"/>
            </w:tabs>
            <w:spacing w:line="360" w:lineRule="auto"/>
            <w:ind w:left="560"/>
            <w:rPr>
              <w:rFonts w:asciiTheme="minorEastAsia" w:hAnsiTheme="minorEastAsia" w:eastAsiaTheme="minorEastAsia" w:cstheme="minorEastAsia"/>
              <w:sz w:val="24"/>
              <w:szCs w:val="24"/>
            </w:rPr>
          </w:pPr>
          <w:r>
            <w:fldChar w:fldCharType="begin"/>
          </w:r>
          <w:r>
            <w:instrText xml:space="preserve"> HYPERLINK \l "_Toc5930" </w:instrText>
          </w:r>
          <w:r>
            <w:fldChar w:fldCharType="separate"/>
          </w:r>
          <w:r>
            <w:rPr>
              <w:rFonts w:hint="eastAsia" w:asciiTheme="minorEastAsia" w:hAnsiTheme="minorEastAsia" w:eastAsiaTheme="minorEastAsia" w:cstheme="minorEastAsia"/>
              <w:sz w:val="24"/>
              <w:szCs w:val="24"/>
            </w:rPr>
            <w:t>1.4主要工作过程</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_Toc5930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4"/>
            <w:tabs>
              <w:tab w:val="right" w:leader="dot" w:pos="8306"/>
            </w:tabs>
            <w:spacing w:line="360" w:lineRule="auto"/>
            <w:rPr>
              <w:rFonts w:asciiTheme="minorEastAsia" w:hAnsiTheme="minorEastAsia" w:eastAsiaTheme="minorEastAsia" w:cstheme="minorEastAsia"/>
              <w:sz w:val="24"/>
              <w:szCs w:val="24"/>
            </w:rPr>
          </w:pPr>
          <w:r>
            <w:fldChar w:fldCharType="begin"/>
          </w:r>
          <w:r>
            <w:instrText xml:space="preserve"> HYPERLINK \l "_Toc23599" </w:instrText>
          </w:r>
          <w:r>
            <w:fldChar w:fldCharType="separate"/>
          </w:r>
          <w:r>
            <w:rPr>
              <w:rFonts w:hint="eastAsia" w:asciiTheme="minorEastAsia" w:hAnsiTheme="minorEastAsia" w:eastAsiaTheme="minorEastAsia" w:cstheme="minorEastAsia"/>
              <w:sz w:val="24"/>
              <w:szCs w:val="24"/>
            </w:rPr>
            <w:t>二、制订标准的必要性和意义</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_Toc23599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5"/>
            <w:tabs>
              <w:tab w:val="right" w:leader="dot" w:pos="8306"/>
            </w:tabs>
            <w:spacing w:line="360" w:lineRule="auto"/>
            <w:ind w:left="560"/>
            <w:rPr>
              <w:rFonts w:asciiTheme="minorEastAsia" w:hAnsiTheme="minorEastAsia" w:eastAsiaTheme="minorEastAsia" w:cstheme="minorEastAsia"/>
              <w:sz w:val="24"/>
              <w:szCs w:val="24"/>
            </w:rPr>
          </w:pPr>
          <w:r>
            <w:fldChar w:fldCharType="begin"/>
          </w:r>
          <w:r>
            <w:instrText xml:space="preserve"> HYPERLINK \l "_Toc32485" </w:instrText>
          </w:r>
          <w:r>
            <w:fldChar w:fldCharType="separate"/>
          </w:r>
          <w:r>
            <w:rPr>
              <w:rFonts w:hint="eastAsia" w:asciiTheme="minorEastAsia" w:hAnsiTheme="minorEastAsia" w:eastAsiaTheme="minorEastAsia" w:cstheme="minorEastAsia"/>
              <w:sz w:val="24"/>
              <w:szCs w:val="24"/>
            </w:rPr>
            <w:t>2.1 标准制订的必要性</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_Toc32485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5"/>
            <w:tabs>
              <w:tab w:val="right" w:leader="dot" w:pos="8306"/>
            </w:tabs>
            <w:spacing w:line="360" w:lineRule="auto"/>
            <w:ind w:left="560"/>
            <w:rPr>
              <w:rFonts w:asciiTheme="minorEastAsia" w:hAnsiTheme="minorEastAsia" w:eastAsiaTheme="minorEastAsia" w:cstheme="minorEastAsia"/>
              <w:sz w:val="24"/>
              <w:szCs w:val="24"/>
            </w:rPr>
          </w:pPr>
          <w:r>
            <w:fldChar w:fldCharType="begin"/>
          </w:r>
          <w:r>
            <w:instrText xml:space="preserve"> HYPERLINK \l "_Toc1505" </w:instrText>
          </w:r>
          <w:r>
            <w:fldChar w:fldCharType="separate"/>
          </w:r>
          <w:r>
            <w:rPr>
              <w:rFonts w:hint="eastAsia" w:asciiTheme="minorEastAsia" w:hAnsiTheme="minorEastAsia" w:eastAsiaTheme="minorEastAsia" w:cstheme="minorEastAsia"/>
              <w:sz w:val="24"/>
              <w:szCs w:val="24"/>
            </w:rPr>
            <w:t>2.2 标准编制的意义</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_Toc1505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4"/>
            <w:tabs>
              <w:tab w:val="right" w:leader="dot" w:pos="8306"/>
            </w:tabs>
            <w:spacing w:line="360" w:lineRule="auto"/>
            <w:rPr>
              <w:rFonts w:asciiTheme="minorEastAsia" w:hAnsiTheme="minorEastAsia" w:eastAsiaTheme="minorEastAsia" w:cstheme="minorEastAsia"/>
              <w:sz w:val="24"/>
              <w:szCs w:val="24"/>
            </w:rPr>
          </w:pPr>
          <w:r>
            <w:fldChar w:fldCharType="begin"/>
          </w:r>
          <w:r>
            <w:instrText xml:space="preserve"> HYPERLINK \l "_Toc5701" </w:instrText>
          </w:r>
          <w:r>
            <w:fldChar w:fldCharType="separate"/>
          </w:r>
          <w:r>
            <w:rPr>
              <w:rFonts w:hint="eastAsia" w:asciiTheme="minorEastAsia" w:hAnsiTheme="minorEastAsia" w:eastAsiaTheme="minorEastAsia" w:cstheme="minorEastAsia"/>
              <w:sz w:val="24"/>
              <w:szCs w:val="24"/>
            </w:rPr>
            <w:t>三、 标准制订原则和依据</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_Toc5701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5"/>
            <w:tabs>
              <w:tab w:val="right" w:leader="dot" w:pos="8306"/>
            </w:tabs>
            <w:spacing w:line="360" w:lineRule="auto"/>
            <w:ind w:left="560"/>
            <w:rPr>
              <w:rFonts w:asciiTheme="minorEastAsia" w:hAnsiTheme="minorEastAsia" w:eastAsiaTheme="minorEastAsia" w:cstheme="minorEastAsia"/>
              <w:sz w:val="24"/>
              <w:szCs w:val="24"/>
            </w:rPr>
          </w:pPr>
          <w:r>
            <w:fldChar w:fldCharType="begin"/>
          </w:r>
          <w:r>
            <w:instrText xml:space="preserve"> HYPERLINK \l "_Toc23807" </w:instrText>
          </w:r>
          <w:r>
            <w:fldChar w:fldCharType="separate"/>
          </w:r>
          <w:r>
            <w:rPr>
              <w:rFonts w:hint="eastAsia" w:asciiTheme="minorEastAsia" w:hAnsiTheme="minorEastAsia" w:eastAsiaTheme="minorEastAsia" w:cstheme="minorEastAsia"/>
              <w:sz w:val="24"/>
              <w:szCs w:val="24"/>
            </w:rPr>
            <w:t>3.1 编制原则</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_Toc23807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5"/>
            <w:tabs>
              <w:tab w:val="right" w:leader="dot" w:pos="8306"/>
            </w:tabs>
            <w:spacing w:line="360" w:lineRule="auto"/>
            <w:ind w:left="560"/>
            <w:rPr>
              <w:rFonts w:asciiTheme="minorEastAsia" w:hAnsiTheme="minorEastAsia" w:eastAsiaTheme="minorEastAsia" w:cstheme="minorEastAsia"/>
              <w:sz w:val="24"/>
              <w:szCs w:val="24"/>
            </w:rPr>
          </w:pPr>
          <w:r>
            <w:fldChar w:fldCharType="begin"/>
          </w:r>
          <w:r>
            <w:instrText xml:space="preserve"> HYPERLINK \l "_Toc10578" </w:instrText>
          </w:r>
          <w:r>
            <w:fldChar w:fldCharType="separate"/>
          </w:r>
          <w:r>
            <w:rPr>
              <w:rFonts w:hint="eastAsia" w:asciiTheme="minorEastAsia" w:hAnsiTheme="minorEastAsia" w:eastAsiaTheme="minorEastAsia" w:cstheme="minorEastAsia"/>
              <w:sz w:val="24"/>
              <w:szCs w:val="24"/>
            </w:rPr>
            <w:t>3.2 编制依据</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_Toc10578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4"/>
            <w:tabs>
              <w:tab w:val="right" w:leader="dot" w:pos="8306"/>
            </w:tabs>
            <w:spacing w:line="360" w:lineRule="auto"/>
            <w:rPr>
              <w:rFonts w:asciiTheme="minorEastAsia" w:hAnsiTheme="minorEastAsia" w:eastAsiaTheme="minorEastAsia" w:cstheme="minorEastAsia"/>
              <w:sz w:val="24"/>
              <w:szCs w:val="24"/>
            </w:rPr>
          </w:pPr>
          <w:r>
            <w:fldChar w:fldCharType="begin"/>
          </w:r>
          <w:r>
            <w:instrText xml:space="preserve"> HYPERLINK \l "_Toc2624" </w:instrText>
          </w:r>
          <w:r>
            <w:fldChar w:fldCharType="separate"/>
          </w:r>
          <w:r>
            <w:rPr>
              <w:rFonts w:hint="eastAsia" w:asciiTheme="minorEastAsia" w:hAnsiTheme="minorEastAsia" w:eastAsiaTheme="minorEastAsia" w:cstheme="minorEastAsia"/>
              <w:sz w:val="24"/>
              <w:szCs w:val="24"/>
            </w:rPr>
            <w:t>四、主要条款的说明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_Toc2624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5"/>
            <w:tabs>
              <w:tab w:val="right" w:leader="dot" w:pos="8306"/>
            </w:tabs>
            <w:spacing w:line="360" w:lineRule="auto"/>
            <w:ind w:left="560"/>
            <w:rPr>
              <w:rFonts w:asciiTheme="minorEastAsia" w:hAnsiTheme="minorEastAsia" w:eastAsiaTheme="minorEastAsia" w:cstheme="minorEastAsia"/>
              <w:sz w:val="24"/>
              <w:szCs w:val="24"/>
            </w:rPr>
          </w:pPr>
          <w:r>
            <w:fldChar w:fldCharType="begin"/>
          </w:r>
          <w:r>
            <w:instrText xml:space="preserve"> HYPERLINK \l "_Toc24435" </w:instrText>
          </w:r>
          <w:r>
            <w:fldChar w:fldCharType="separate"/>
          </w:r>
          <w:r>
            <w:rPr>
              <w:rFonts w:hint="eastAsia" w:asciiTheme="minorEastAsia" w:hAnsiTheme="minorEastAsia" w:eastAsiaTheme="minorEastAsia" w:cstheme="minorEastAsia"/>
              <w:sz w:val="24"/>
              <w:szCs w:val="24"/>
            </w:rPr>
            <w:t>4.1标准文本的主要章节</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_Toc24435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5"/>
            <w:tabs>
              <w:tab w:val="right" w:leader="dot" w:pos="8306"/>
            </w:tabs>
            <w:spacing w:line="360" w:lineRule="auto"/>
            <w:ind w:left="560"/>
            <w:rPr>
              <w:rFonts w:asciiTheme="minorEastAsia" w:hAnsiTheme="minorEastAsia" w:eastAsiaTheme="minorEastAsia" w:cstheme="minorEastAsia"/>
              <w:sz w:val="24"/>
              <w:szCs w:val="24"/>
            </w:rPr>
          </w:pPr>
          <w:r>
            <w:fldChar w:fldCharType="begin"/>
          </w:r>
          <w:r>
            <w:instrText xml:space="preserve"> HYPERLINK \l "_Toc23253" </w:instrText>
          </w:r>
          <w:r>
            <w:fldChar w:fldCharType="separate"/>
          </w:r>
          <w:r>
            <w:rPr>
              <w:rFonts w:hint="eastAsia" w:asciiTheme="minorEastAsia" w:hAnsiTheme="minorEastAsia" w:eastAsiaTheme="minorEastAsia" w:cstheme="minorEastAsia"/>
              <w:sz w:val="24"/>
              <w:szCs w:val="24"/>
            </w:rPr>
            <w:t>4.2 主要技术指标</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_Toc23253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4"/>
            <w:tabs>
              <w:tab w:val="right" w:leader="dot" w:pos="8306"/>
            </w:tabs>
            <w:spacing w:line="360" w:lineRule="auto"/>
            <w:rPr>
              <w:rFonts w:asciiTheme="minorEastAsia" w:hAnsiTheme="minorEastAsia" w:eastAsiaTheme="minorEastAsia" w:cstheme="minorEastAsia"/>
              <w:sz w:val="24"/>
              <w:szCs w:val="24"/>
            </w:rPr>
          </w:pPr>
          <w:r>
            <w:fldChar w:fldCharType="begin"/>
          </w:r>
          <w:r>
            <w:instrText xml:space="preserve"> HYPERLINK \l "_Toc3821" </w:instrText>
          </w:r>
          <w:r>
            <w:fldChar w:fldCharType="separate"/>
          </w:r>
          <w:r>
            <w:rPr>
              <w:rFonts w:hint="eastAsia" w:asciiTheme="minorEastAsia" w:hAnsiTheme="minorEastAsia" w:eastAsiaTheme="minorEastAsia" w:cstheme="minorEastAsia"/>
              <w:sz w:val="24"/>
              <w:szCs w:val="24"/>
            </w:rPr>
            <w:t>五、重大意见分歧的处理依据和结果</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_Toc3821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4"/>
            <w:tabs>
              <w:tab w:val="right" w:leader="dot" w:pos="8306"/>
            </w:tabs>
            <w:spacing w:line="360" w:lineRule="auto"/>
            <w:rPr>
              <w:rFonts w:asciiTheme="minorEastAsia" w:hAnsiTheme="minorEastAsia" w:eastAsiaTheme="minorEastAsia" w:cstheme="minorEastAsia"/>
              <w:sz w:val="24"/>
              <w:szCs w:val="24"/>
            </w:rPr>
          </w:pPr>
          <w:r>
            <w:fldChar w:fldCharType="begin"/>
          </w:r>
          <w:r>
            <w:instrText xml:space="preserve"> HYPERLINK \l "_Toc31329" </w:instrText>
          </w:r>
          <w:r>
            <w:fldChar w:fldCharType="separate"/>
          </w:r>
          <w:r>
            <w:rPr>
              <w:rFonts w:hint="eastAsia" w:asciiTheme="minorEastAsia" w:hAnsiTheme="minorEastAsia" w:eastAsiaTheme="minorEastAsia" w:cstheme="minorEastAsia"/>
              <w:sz w:val="24"/>
              <w:szCs w:val="24"/>
            </w:rPr>
            <w:t>六、 与国内外同类标准水平的对比情况</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_Toc31329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4"/>
            <w:tabs>
              <w:tab w:val="right" w:leader="dot" w:pos="8306"/>
            </w:tabs>
            <w:spacing w:line="360" w:lineRule="auto"/>
            <w:rPr>
              <w:rFonts w:asciiTheme="minorEastAsia" w:hAnsiTheme="minorEastAsia" w:eastAsiaTheme="minorEastAsia" w:cstheme="minorEastAsia"/>
              <w:sz w:val="24"/>
              <w:szCs w:val="24"/>
            </w:rPr>
          </w:pPr>
          <w:r>
            <w:fldChar w:fldCharType="begin"/>
          </w:r>
          <w:r>
            <w:instrText xml:space="preserve"> HYPERLINK \l "_Toc29055" </w:instrText>
          </w:r>
          <w:r>
            <w:fldChar w:fldCharType="separate"/>
          </w:r>
          <w:r>
            <w:rPr>
              <w:rFonts w:hint="eastAsia" w:asciiTheme="minorEastAsia" w:hAnsiTheme="minorEastAsia" w:eastAsiaTheme="minorEastAsia" w:cstheme="minorEastAsia"/>
              <w:sz w:val="24"/>
              <w:szCs w:val="24"/>
            </w:rPr>
            <w:t>七、 作为推荐性标准或者强制性标准的建议及其理由</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_Toc29055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4"/>
            <w:tabs>
              <w:tab w:val="right" w:leader="dot" w:pos="8306"/>
            </w:tabs>
            <w:spacing w:line="360" w:lineRule="auto"/>
            <w:rPr>
              <w:rFonts w:asciiTheme="minorEastAsia" w:hAnsiTheme="minorEastAsia" w:eastAsiaTheme="minorEastAsia" w:cstheme="minorEastAsia"/>
              <w:sz w:val="24"/>
              <w:szCs w:val="24"/>
            </w:rPr>
          </w:pPr>
          <w:r>
            <w:fldChar w:fldCharType="begin"/>
          </w:r>
          <w:r>
            <w:instrText xml:space="preserve"> HYPERLINK \l "_Toc11685" </w:instrText>
          </w:r>
          <w:r>
            <w:fldChar w:fldCharType="separate"/>
          </w:r>
          <w:r>
            <w:rPr>
              <w:rFonts w:hint="eastAsia" w:asciiTheme="minorEastAsia" w:hAnsiTheme="minorEastAsia" w:eastAsiaTheme="minorEastAsia" w:cstheme="minorEastAsia"/>
              <w:sz w:val="24"/>
              <w:szCs w:val="24"/>
            </w:rPr>
            <w:t>八、强制性标准实施风险点、风险程度、风险防控措施和预案</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_Toc11685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14"/>
            <w:tabs>
              <w:tab w:val="right" w:leader="dot" w:pos="8306"/>
            </w:tabs>
            <w:spacing w:line="360" w:lineRule="auto"/>
            <w:rPr>
              <w:rFonts w:asciiTheme="minorEastAsia" w:hAnsiTheme="minorEastAsia" w:eastAsiaTheme="minorEastAsia" w:cstheme="minorEastAsia"/>
              <w:sz w:val="24"/>
              <w:szCs w:val="24"/>
            </w:rPr>
          </w:pPr>
          <w:r>
            <w:fldChar w:fldCharType="begin"/>
          </w:r>
          <w:r>
            <w:instrText xml:space="preserve"> HYPERLINK \l "_Toc27363" </w:instrText>
          </w:r>
          <w:r>
            <w:fldChar w:fldCharType="separate"/>
          </w:r>
          <w:r>
            <w:rPr>
              <w:rFonts w:hint="eastAsia" w:asciiTheme="minorEastAsia" w:hAnsiTheme="minorEastAsia" w:eastAsiaTheme="minorEastAsia" w:cstheme="minorEastAsia"/>
              <w:sz w:val="24"/>
              <w:szCs w:val="24"/>
            </w:rPr>
            <w:t>九、其他应予说明的事项</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_Toc27363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2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fldChar w:fldCharType="end"/>
          </w:r>
        </w:p>
      </w:sdtContent>
    </w:sdt>
    <w:p>
      <w:pPr>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pStyle w:val="24"/>
        <w:rPr>
          <w:rFonts w:ascii="Times New Roman" w:hAnsi="Times New Roman"/>
          <w:b/>
          <w:bCs/>
          <w:color w:val="0D0D0D" w:themeColor="text1" w:themeTint="F2"/>
          <w:spacing w:val="60"/>
          <w:sz w:val="40"/>
          <w:szCs w:val="24"/>
          <w14:textFill>
            <w14:solidFill>
              <w14:schemeClr w14:val="tx1">
                <w14:lumMod w14:val="95000"/>
                <w14:lumOff w14:val="5000"/>
              </w14:schemeClr>
            </w14:solidFill>
          </w14:textFill>
        </w:rPr>
      </w:pPr>
    </w:p>
    <w:p>
      <w:pPr>
        <w:pStyle w:val="2"/>
        <w:tabs>
          <w:tab w:val="center" w:pos="4153"/>
          <w:tab w:val="clear" w:pos="420"/>
        </w:tabs>
        <w:spacing w:before="190" w:after="190"/>
        <w:ind w:left="0" w:firstLine="0"/>
        <w:sectPr>
          <w:pgSz w:w="11906" w:h="16838"/>
          <w:pgMar w:top="1440" w:right="1800" w:bottom="1440" w:left="1800" w:header="851" w:footer="992" w:gutter="0"/>
          <w:pgNumType w:start="1"/>
          <w:cols w:space="425" w:num="1"/>
          <w:docGrid w:type="lines" w:linePitch="381" w:charSpace="0"/>
        </w:sectPr>
      </w:pPr>
      <w:bookmarkStart w:id="4" w:name="_Toc13479"/>
      <w:bookmarkStart w:id="5" w:name="_Toc14576"/>
      <w:bookmarkStart w:id="6" w:name="_Toc49521974"/>
      <w:bookmarkStart w:id="7" w:name="_Toc129476414"/>
      <w:bookmarkStart w:id="8" w:name="_Toc30282"/>
      <w:bookmarkStart w:id="9" w:name="_Toc91145285"/>
    </w:p>
    <w:p>
      <w:pPr>
        <w:pStyle w:val="2"/>
        <w:tabs>
          <w:tab w:val="center" w:pos="4153"/>
          <w:tab w:val="clear" w:pos="420"/>
        </w:tabs>
        <w:spacing w:before="190" w:after="190"/>
        <w:ind w:left="0" w:firstLine="0"/>
      </w:pPr>
      <w:bookmarkStart w:id="10" w:name="_Toc20456"/>
      <w:bookmarkStart w:id="11" w:name="_Toc24307"/>
      <w:r>
        <w:t>一、</w:t>
      </w:r>
      <w:bookmarkEnd w:id="4"/>
      <w:bookmarkEnd w:id="5"/>
      <w:bookmarkEnd w:id="6"/>
      <w:bookmarkEnd w:id="7"/>
      <w:bookmarkEnd w:id="8"/>
      <w:bookmarkEnd w:id="9"/>
      <w:r>
        <w:rPr>
          <w:rFonts w:hint="eastAsia"/>
        </w:rPr>
        <w:t>项目背景</w:t>
      </w:r>
      <w:bookmarkEnd w:id="10"/>
      <w:bookmarkEnd w:id="11"/>
    </w:p>
    <w:p>
      <w:pPr>
        <w:pStyle w:val="3"/>
        <w:spacing w:before="190" w:after="190"/>
      </w:pPr>
      <w:bookmarkStart w:id="12" w:name="_Toc17348"/>
      <w:bookmarkStart w:id="13" w:name="_Toc91145286"/>
      <w:bookmarkStart w:id="14" w:name="_Toc129476415"/>
      <w:bookmarkStart w:id="15" w:name="_Toc12008"/>
      <w:bookmarkStart w:id="16" w:name="_Toc11921"/>
      <w:r>
        <w:t>1.1 任务来源</w:t>
      </w:r>
      <w:bookmarkEnd w:id="12"/>
      <w:bookmarkEnd w:id="13"/>
      <w:bookmarkEnd w:id="14"/>
      <w:bookmarkEnd w:id="15"/>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全国焦化生产企业 500 余家， 焦炭总产能约 6. 3 亿吨。有研究表明焦化行业VOCs排放量约占全国工业VOCs排放总量的7.8-20%。焦化产生VOCs排放主要集中在焦炉煤气净化过程。为响应国家对VOCs治理达标排放的标准要求，全国范围大多数的焦化化产区域都建起了形式多样VOCs治理设施，甚至有的企业在环保督查的背景下，反复投资、多次整改，依然难以从根本上解决焦化化产废气治理难题。这些设施大多有如下特征：</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简易低效、安全事故频发、不能达标排放，又或形式化过重，效率低下，大多废气回归无组织排放的状态。</w:t>
      </w:r>
    </w:p>
    <w:p>
      <w:pPr>
        <w:adjustRightInd w:val="0"/>
        <w:snapToGrid w:val="0"/>
        <w:spacing w:line="360" w:lineRule="auto"/>
        <w:ind w:firstLine="480" w:firstLineChars="200"/>
      </w:pPr>
      <w:r>
        <w:rPr>
          <w:rFonts w:hint="eastAsia" w:ascii="Times New Roman" w:hAnsi="Times New Roman"/>
          <w:sz w:val="24"/>
          <w:szCs w:val="28"/>
        </w:rPr>
        <w:t>主要原因在于：目前国内没有出台任何与焦化化产工艺过程相适应的废气治理设计标准来规范焦炉煤气净化过程产生废气治理系统设计过程，以致目前已实施的、大多数废气治理装置在设计规模、工艺路线、系统配置、设备选型、材料选择、平面布置等方面都存在问题。</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基于此，2023年3月由江苏智道工程技术有限公司牵头向南京市节能环保产业协会提出《煤气净化废气治理工程设计规范》团标编制申请。获得协会批准后，由江苏智道工程技术有限公司牵头组织标准编制工作组，展开编制工作。</w:t>
      </w:r>
    </w:p>
    <w:p>
      <w:pPr>
        <w:adjustRightInd w:val="0"/>
        <w:snapToGrid w:val="0"/>
        <w:spacing w:line="360" w:lineRule="auto"/>
        <w:ind w:firstLine="480" w:firstLineChars="200"/>
        <w:rPr>
          <w:rFonts w:eastAsia="黑体"/>
        </w:rPr>
      </w:pPr>
      <w:r>
        <w:rPr>
          <w:rFonts w:hint="eastAsia" w:ascii="Times New Roman" w:hAnsi="Times New Roman"/>
          <w:sz w:val="24"/>
          <w:szCs w:val="28"/>
        </w:rPr>
        <w:t xml:space="preserve">  项目计划号：南京节能环保产业协会《煤气净化废气治理工程设计规范》团标立项的公告（节环协[2023]第37号）</w:t>
      </w:r>
    </w:p>
    <w:p>
      <w:pPr>
        <w:pStyle w:val="3"/>
        <w:spacing w:before="190" w:after="190"/>
      </w:pPr>
      <w:bookmarkStart w:id="17" w:name="_Toc28533"/>
      <w:bookmarkStart w:id="18" w:name="_Toc618"/>
      <w:r>
        <w:rPr>
          <w:rFonts w:hint="eastAsia"/>
        </w:rPr>
        <w:t>1.2起草单位</w:t>
      </w:r>
      <w:bookmarkEnd w:id="17"/>
      <w:bookmarkEnd w:id="18"/>
    </w:p>
    <w:p>
      <w:pPr>
        <w:widowControl/>
        <w:adjustRightInd w:val="0"/>
        <w:snapToGrid w:val="0"/>
        <w:spacing w:line="360" w:lineRule="auto"/>
        <w:ind w:firstLine="480" w:firstLineChars="200"/>
        <w:jc w:val="left"/>
        <w:rPr>
          <w:rFonts w:ascii="Times New Roman" w:hAnsi="Times New Roman"/>
          <w:sz w:val="24"/>
          <w:szCs w:val="28"/>
          <w:lang w:bidi="ar"/>
        </w:rPr>
      </w:pPr>
      <w:r>
        <w:rPr>
          <w:rFonts w:hint="eastAsia" w:ascii="Times New Roman" w:hAnsi="Times New Roman"/>
          <w:sz w:val="24"/>
          <w:szCs w:val="28"/>
          <w:lang w:bidi="ar"/>
        </w:rPr>
        <w:t>本文件起草单位：江苏智道工程技术有限公司、上海梅山钢铁股份有限公司、马鞍山钢铁股份有限公司、南京南钢钢铁联合有限公司、中海油气（泰州）石化有限公司、安徽工业大学。</w:t>
      </w:r>
    </w:p>
    <w:p>
      <w:pPr>
        <w:pStyle w:val="3"/>
        <w:spacing w:before="190" w:after="190"/>
      </w:pPr>
      <w:bookmarkStart w:id="19" w:name="_Toc10243"/>
      <w:bookmarkStart w:id="20" w:name="_Toc23158"/>
      <w:r>
        <w:rPr>
          <w:rFonts w:hint="eastAsia"/>
        </w:rPr>
        <w:t>1.3主要起草人</w:t>
      </w:r>
      <w:bookmarkEnd w:id="19"/>
      <w:bookmarkEnd w:id="20"/>
    </w:p>
    <w:p>
      <w:pPr>
        <w:widowControl/>
        <w:adjustRightInd w:val="0"/>
        <w:snapToGrid w:val="0"/>
        <w:spacing w:line="360" w:lineRule="auto"/>
        <w:ind w:firstLine="480" w:firstLineChars="200"/>
        <w:jc w:val="left"/>
        <w:rPr>
          <w:rFonts w:ascii="Times New Roman" w:hAnsi="Times New Roman"/>
          <w:sz w:val="24"/>
          <w:szCs w:val="28"/>
          <w:lang w:bidi="ar"/>
        </w:rPr>
      </w:pPr>
      <w:r>
        <w:rPr>
          <w:rFonts w:hint="eastAsia" w:ascii="Times New Roman" w:hAnsi="Times New Roman"/>
          <w:sz w:val="24"/>
          <w:szCs w:val="28"/>
          <w:lang w:bidi="ar"/>
        </w:rPr>
        <w:t>本文件主要起草人：李丹丹、曹彦、张斌、张军、江玲、兰钦群、滕炳祥、韩加友、邱全山、顾慧娟、韩守知、崔平。</w:t>
      </w:r>
    </w:p>
    <w:p>
      <w:pPr>
        <w:pStyle w:val="3"/>
        <w:spacing w:before="190" w:after="190"/>
      </w:pPr>
      <w:bookmarkStart w:id="21" w:name="_Toc17547"/>
      <w:bookmarkStart w:id="22" w:name="_Toc5930"/>
      <w:bookmarkStart w:id="23" w:name="_Toc91145287"/>
      <w:bookmarkStart w:id="24" w:name="_Toc129476416"/>
      <w:r>
        <w:rPr>
          <w:rFonts w:hint="eastAsia"/>
        </w:rPr>
        <w:t>1.4主要工作过程</w:t>
      </w:r>
      <w:bookmarkEnd w:id="21"/>
      <w:bookmarkEnd w:id="22"/>
    </w:p>
    <w:p>
      <w:pPr>
        <w:adjustRightInd w:val="0"/>
        <w:snapToGrid w:val="0"/>
        <w:spacing w:line="360" w:lineRule="auto"/>
        <w:ind w:firstLine="482"/>
        <w:rPr>
          <w:rFonts w:ascii="Times New Roman" w:hAnsi="Times New Roman"/>
          <w:bCs/>
          <w:sz w:val="24"/>
          <w:szCs w:val="24"/>
        </w:rPr>
      </w:pPr>
      <w:bookmarkStart w:id="25" w:name="_Toc13722"/>
      <w:bookmarkStart w:id="26" w:name="_Toc8778"/>
      <w:r>
        <w:rPr>
          <w:rFonts w:ascii="Times New Roman" w:hAnsi="Times New Roman"/>
          <w:bCs/>
          <w:sz w:val="24"/>
          <w:szCs w:val="24"/>
        </w:rPr>
        <w:t>按照编制要求，标准编制组经广泛调查研究，系统总结实践经验，借鉴国内现有标准，经过多次内部研讨和专家咨询，</w:t>
      </w:r>
      <w:r>
        <w:rPr>
          <w:rFonts w:hint="eastAsia" w:ascii="Times New Roman" w:hAnsi="Times New Roman"/>
          <w:bCs/>
          <w:sz w:val="24"/>
          <w:szCs w:val="24"/>
        </w:rPr>
        <w:t>编制</w:t>
      </w:r>
      <w:r>
        <w:rPr>
          <w:rFonts w:ascii="Times New Roman" w:hAnsi="Times New Roman"/>
          <w:bCs/>
          <w:sz w:val="24"/>
          <w:szCs w:val="24"/>
        </w:rPr>
        <w:t>形成该标准。</w:t>
      </w:r>
      <w:bookmarkEnd w:id="25"/>
      <w:bookmarkEnd w:id="26"/>
    </w:p>
    <w:p>
      <w:pPr>
        <w:pStyle w:val="3"/>
        <w:snapToGrid w:val="0"/>
        <w:spacing w:before="0" w:beforeLines="0" w:after="0" w:afterLines="0" w:line="360" w:lineRule="auto"/>
        <w:rPr>
          <w:rFonts w:ascii="Times New Roman" w:hAnsi="Times New Roman"/>
          <w:bCs/>
          <w:sz w:val="24"/>
          <w:szCs w:val="24"/>
        </w:rPr>
      </w:pPr>
      <w:bookmarkStart w:id="27" w:name="_Toc91145290"/>
      <w:bookmarkStart w:id="28" w:name="_Toc129476419"/>
      <w:r>
        <w:rPr>
          <w:rFonts w:hint="eastAsia" w:ascii="Times New Roman" w:hAnsi="Times New Roman"/>
          <w:bCs/>
          <w:sz w:val="24"/>
          <w:szCs w:val="24"/>
        </w:rPr>
        <w:t xml:space="preserve">1.4.1 </w:t>
      </w:r>
      <w:r>
        <w:rPr>
          <w:rFonts w:ascii="Times New Roman" w:hAnsi="Times New Roman"/>
          <w:bCs/>
          <w:sz w:val="24"/>
          <w:szCs w:val="24"/>
        </w:rPr>
        <w:t>预研阶段</w:t>
      </w:r>
      <w:bookmarkEnd w:id="27"/>
      <w:bookmarkEnd w:id="28"/>
      <w:r>
        <w:rPr>
          <w:rFonts w:hint="eastAsia" w:ascii="Times New Roman" w:hAnsi="Times New Roman"/>
          <w:bCs/>
          <w:sz w:val="24"/>
          <w:szCs w:val="24"/>
        </w:rPr>
        <w:t>（2023年3月）</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2023年3月，由南京市节能环保产业协会牵头召开标准编制动员会。</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2023年4月组织落实标准制订工作，由江苏智道工程技术有限公司起草标准立项材料、启动调研前准备工作，并牵头组织来自高校、企业相关技术人员组成《煤气净化废气治理工程设计规范》编制组。</w:t>
      </w:r>
    </w:p>
    <w:p>
      <w:pPr>
        <w:pStyle w:val="3"/>
        <w:snapToGrid w:val="0"/>
        <w:spacing w:before="0" w:beforeLines="0" w:after="0" w:afterLines="0" w:line="360" w:lineRule="auto"/>
        <w:rPr>
          <w:rFonts w:ascii="Times New Roman" w:hAnsi="Times New Roman"/>
          <w:bCs/>
          <w:sz w:val="24"/>
          <w:szCs w:val="24"/>
        </w:rPr>
      </w:pPr>
      <w:bookmarkStart w:id="29" w:name="_Toc91145291"/>
      <w:bookmarkStart w:id="30" w:name="_Toc129476420"/>
      <w:r>
        <w:rPr>
          <w:rFonts w:hint="eastAsia" w:ascii="Times New Roman" w:hAnsi="Times New Roman"/>
          <w:bCs/>
          <w:sz w:val="24"/>
          <w:szCs w:val="24"/>
        </w:rPr>
        <w:t>1.4.2</w:t>
      </w:r>
      <w:r>
        <w:rPr>
          <w:rFonts w:ascii="Times New Roman" w:hAnsi="Times New Roman"/>
          <w:bCs/>
          <w:sz w:val="24"/>
          <w:szCs w:val="24"/>
        </w:rPr>
        <w:t>启动阶段</w:t>
      </w:r>
      <w:bookmarkEnd w:id="29"/>
      <w:bookmarkEnd w:id="30"/>
      <w:r>
        <w:rPr>
          <w:rFonts w:hint="eastAsia" w:ascii="Times New Roman" w:hAnsi="Times New Roman"/>
          <w:bCs/>
          <w:sz w:val="24"/>
          <w:szCs w:val="24"/>
        </w:rPr>
        <w:t>（2023年4月）</w:t>
      </w:r>
    </w:p>
    <w:p>
      <w:pPr>
        <w:adjustRightInd w:val="0"/>
        <w:snapToGrid w:val="0"/>
        <w:spacing w:line="360" w:lineRule="auto"/>
        <w:ind w:firstLine="480" w:firstLineChars="200"/>
        <w:rPr>
          <w:rFonts w:ascii="Times New Roman" w:hAnsi="Times New Roman"/>
          <w:sz w:val="24"/>
          <w:szCs w:val="24"/>
        </w:rPr>
      </w:pPr>
      <w:r>
        <w:rPr>
          <w:rFonts w:ascii="Times New Roman" w:hAnsi="Times New Roman"/>
          <w:bCs/>
          <w:sz w:val="24"/>
          <w:szCs w:val="24"/>
        </w:rPr>
        <w:t>202</w:t>
      </w:r>
      <w:r>
        <w:rPr>
          <w:rFonts w:hint="eastAsia" w:ascii="Times New Roman" w:hAnsi="Times New Roman"/>
          <w:bCs/>
          <w:sz w:val="24"/>
          <w:szCs w:val="24"/>
        </w:rPr>
        <w:t>3</w:t>
      </w:r>
      <w:r>
        <w:rPr>
          <w:rFonts w:ascii="Times New Roman" w:hAnsi="Times New Roman"/>
          <w:bCs/>
          <w:sz w:val="24"/>
          <w:szCs w:val="24"/>
        </w:rPr>
        <w:t>年</w:t>
      </w:r>
      <w:r>
        <w:rPr>
          <w:rFonts w:hint="eastAsia" w:ascii="Times New Roman" w:hAnsi="Times New Roman"/>
          <w:bCs/>
          <w:sz w:val="24"/>
          <w:szCs w:val="24"/>
        </w:rPr>
        <w:t>4</w:t>
      </w:r>
      <w:r>
        <w:rPr>
          <w:rFonts w:ascii="Times New Roman" w:hAnsi="Times New Roman"/>
          <w:bCs/>
          <w:sz w:val="24"/>
          <w:szCs w:val="24"/>
        </w:rPr>
        <w:t>月，</w:t>
      </w:r>
      <w:r>
        <w:rPr>
          <w:rFonts w:ascii="Times New Roman" w:hAnsi="Times New Roman"/>
          <w:sz w:val="24"/>
          <w:szCs w:val="24"/>
        </w:rPr>
        <w:t>编制组组织有关人员系统学习了GB/T 1.1《标准化工作导则 第1部分：标准的结构和编写》</w:t>
      </w:r>
      <w:r>
        <w:rPr>
          <w:rFonts w:hint="eastAsia" w:ascii="Times New Roman" w:hAnsi="Times New Roman"/>
          <w:sz w:val="24"/>
          <w:szCs w:val="24"/>
        </w:rPr>
        <w:t>，</w:t>
      </w:r>
      <w:r>
        <w:rPr>
          <w:rFonts w:ascii="Times New Roman" w:hAnsi="Times New Roman"/>
          <w:sz w:val="24"/>
          <w:szCs w:val="24"/>
        </w:rPr>
        <w:t>初步讨论了标准草案的主体框架。</w:t>
      </w:r>
    </w:p>
    <w:p>
      <w:pPr>
        <w:pStyle w:val="3"/>
        <w:snapToGrid w:val="0"/>
        <w:spacing w:before="0" w:beforeLines="0" w:after="0" w:afterLines="0" w:line="360" w:lineRule="auto"/>
        <w:rPr>
          <w:rFonts w:ascii="Times New Roman" w:hAnsi="Times New Roman"/>
          <w:bCs/>
          <w:sz w:val="24"/>
          <w:szCs w:val="24"/>
        </w:rPr>
      </w:pPr>
      <w:bookmarkStart w:id="31" w:name="_Toc85013398"/>
      <w:bookmarkEnd w:id="31"/>
      <w:bookmarkStart w:id="32" w:name="_Toc85013397"/>
      <w:bookmarkEnd w:id="32"/>
      <w:bookmarkStart w:id="33" w:name="_Toc129476421"/>
      <w:bookmarkStart w:id="34" w:name="_Toc91145292"/>
      <w:r>
        <w:rPr>
          <w:rFonts w:hint="eastAsia" w:ascii="Times New Roman" w:hAnsi="Times New Roman"/>
          <w:bCs/>
          <w:sz w:val="24"/>
          <w:szCs w:val="24"/>
        </w:rPr>
        <w:t>1.4.3</w:t>
      </w:r>
      <w:r>
        <w:rPr>
          <w:rFonts w:ascii="Times New Roman" w:hAnsi="Times New Roman"/>
          <w:bCs/>
          <w:sz w:val="24"/>
          <w:szCs w:val="24"/>
        </w:rPr>
        <w:t>草案阶段</w:t>
      </w:r>
      <w:bookmarkEnd w:id="33"/>
      <w:bookmarkEnd w:id="34"/>
      <w:r>
        <w:rPr>
          <w:rFonts w:hint="eastAsia" w:ascii="Times New Roman" w:hAnsi="Times New Roman"/>
          <w:bCs/>
          <w:sz w:val="24"/>
          <w:szCs w:val="24"/>
        </w:rPr>
        <w:t>（2023年5月-2023年7月）</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编制组大多数成员长期从事石油化工及其VOCs治理工作，熟悉石油化工相关标准、条例；同时也熟悉焦炉煤气净化生产过程废气的产生途径和废气的特性；并对煤气净化废气治理有校深入的理论研究和实践经验。</w:t>
      </w:r>
    </w:p>
    <w:p>
      <w:pPr>
        <w:adjustRightInd w:val="0"/>
        <w:snapToGrid w:val="0"/>
        <w:spacing w:line="360" w:lineRule="auto"/>
        <w:ind w:firstLine="480" w:firstLineChars="200"/>
      </w:pPr>
      <w:r>
        <w:rPr>
          <w:rFonts w:hint="eastAsia" w:ascii="Times New Roman" w:hAnsi="Times New Roman"/>
          <w:sz w:val="24"/>
          <w:szCs w:val="28"/>
        </w:rPr>
        <w:t>为促进标准落地实施，提高标准的科学性和可操作性，编制组以资料分析与现场调研相结合的方式对焦化化产废气排放情况开展了进一步调研。</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2023年5月起，编制组通过多途径调查、收集并研究政策、标准、技术文献、案例资料、总结了相关的排放要求、处理技术、工艺设计、设施要求等。经过资料分析和共性总结，理顺了标准制订的思路，形成了标准草稿。</w:t>
      </w:r>
    </w:p>
    <w:p>
      <w:pPr>
        <w:adjustRightInd w:val="0"/>
        <w:snapToGrid w:val="0"/>
        <w:spacing w:line="360" w:lineRule="auto"/>
        <w:ind w:firstLine="480" w:firstLineChars="200"/>
      </w:pPr>
      <w:r>
        <w:rPr>
          <w:rFonts w:hint="eastAsia" w:ascii="Times New Roman" w:hAnsi="Times New Roman"/>
          <w:sz w:val="24"/>
          <w:szCs w:val="28"/>
        </w:rPr>
        <w:t>2023年6-7月，编制组筛选重点煤气净化废气治理企业，通过发放调研表、典型工程现场考察方式，了解了多种煤气净化废气处理工艺路线、运行情况、以及存在问题，为标准编制提供了支撑。</w:t>
      </w:r>
    </w:p>
    <w:p>
      <w:pPr>
        <w:pStyle w:val="3"/>
        <w:snapToGrid w:val="0"/>
        <w:spacing w:before="0" w:beforeLines="0" w:after="0" w:afterLines="0" w:line="360" w:lineRule="auto"/>
        <w:rPr>
          <w:rFonts w:ascii="Times New Roman" w:hAnsi="Times New Roman"/>
          <w:bCs/>
          <w:sz w:val="24"/>
          <w:szCs w:val="24"/>
        </w:rPr>
      </w:pPr>
      <w:bookmarkStart w:id="35" w:name="_Toc2082"/>
      <w:bookmarkStart w:id="36" w:name="_Toc84838361"/>
      <w:bookmarkStart w:id="37" w:name="_Toc5833"/>
      <w:bookmarkStart w:id="38" w:name="_Toc91145293"/>
      <w:bookmarkStart w:id="39" w:name="_Toc129476422"/>
      <w:r>
        <w:rPr>
          <w:rFonts w:hint="eastAsia" w:ascii="Times New Roman" w:hAnsi="Times New Roman"/>
          <w:bCs/>
          <w:sz w:val="24"/>
          <w:szCs w:val="24"/>
        </w:rPr>
        <w:t xml:space="preserve">1.4.4 </w:t>
      </w:r>
      <w:r>
        <w:rPr>
          <w:rFonts w:ascii="Times New Roman" w:hAnsi="Times New Roman"/>
          <w:bCs/>
          <w:sz w:val="24"/>
          <w:szCs w:val="24"/>
        </w:rPr>
        <w:t>标准</w:t>
      </w:r>
      <w:bookmarkEnd w:id="35"/>
      <w:r>
        <w:rPr>
          <w:rFonts w:ascii="Times New Roman" w:hAnsi="Times New Roman"/>
          <w:bCs/>
          <w:sz w:val="24"/>
          <w:szCs w:val="24"/>
        </w:rPr>
        <w:t>初稿</w:t>
      </w:r>
      <w:bookmarkEnd w:id="36"/>
      <w:bookmarkEnd w:id="37"/>
      <w:bookmarkEnd w:id="38"/>
      <w:bookmarkEnd w:id="39"/>
      <w:r>
        <w:rPr>
          <w:rFonts w:hint="eastAsia" w:ascii="Times New Roman" w:hAnsi="Times New Roman"/>
          <w:bCs/>
          <w:sz w:val="24"/>
          <w:szCs w:val="24"/>
        </w:rPr>
        <w:t>（2023年11月）</w:t>
      </w:r>
    </w:p>
    <w:p>
      <w:pPr>
        <w:adjustRightInd w:val="0"/>
        <w:snapToGrid w:val="0"/>
        <w:spacing w:line="360" w:lineRule="auto"/>
        <w:ind w:firstLine="480" w:firstLineChars="200"/>
        <w:rPr>
          <w:rFonts w:ascii="Times New Roman" w:hAnsi="Times New Roman"/>
          <w:bCs/>
          <w:sz w:val="24"/>
          <w:szCs w:val="24"/>
        </w:rPr>
      </w:pPr>
      <w:r>
        <w:rPr>
          <w:rFonts w:hint="eastAsia" w:ascii="Times New Roman" w:hAnsi="Times New Roman"/>
          <w:sz w:val="24"/>
          <w:szCs w:val="28"/>
        </w:rPr>
        <w:t>2023年</w:t>
      </w:r>
      <w:r>
        <w:rPr>
          <w:rFonts w:ascii="Times New Roman" w:hAnsi="Times New Roman"/>
          <w:sz w:val="24"/>
          <w:szCs w:val="28"/>
        </w:rPr>
        <w:t>11</w:t>
      </w:r>
      <w:r>
        <w:rPr>
          <w:rFonts w:hint="eastAsia" w:ascii="Times New Roman" w:hAnsi="Times New Roman"/>
          <w:sz w:val="24"/>
          <w:szCs w:val="28"/>
        </w:rPr>
        <w:t>月召开专家咨询会通过了标准立项评估。</w:t>
      </w:r>
      <w:r>
        <w:rPr>
          <w:rFonts w:hint="eastAsia" w:ascii="Times New Roman" w:hAnsi="Times New Roman"/>
          <w:bCs/>
          <w:sz w:val="24"/>
          <w:szCs w:val="24"/>
        </w:rPr>
        <w:t>南京节能环保产业协会组织南京理工大学钟秦教授、江苏省质量和标准化研究院刘晓倩高级工程师、南京师范大学赵孝保教授、中国石化扬子石油化工有限公司彭飞高级工程师及南京江岛环境科技研究院黄开龙高级工程师五位专家在南京召开《</w:t>
      </w:r>
      <w:r>
        <w:rPr>
          <w:rFonts w:hint="eastAsia" w:ascii="Times New Roman" w:hAnsi="Times New Roman"/>
          <w:sz w:val="24"/>
          <w:szCs w:val="28"/>
        </w:rPr>
        <w:t>煤气净化废气治理工程设计规范</w:t>
      </w:r>
      <w:r>
        <w:rPr>
          <w:rFonts w:hint="eastAsia" w:ascii="Times New Roman" w:hAnsi="Times New Roman"/>
          <w:bCs/>
          <w:sz w:val="24"/>
          <w:szCs w:val="24"/>
        </w:rPr>
        <w:t>》立项评估会，专家组听取标准编制组汇报，查阅相关资料，经质询和讨论，一致同意该团体标准立项。由协会在全国团体标准信息平台进行立项公示，公示期由2023年</w:t>
      </w:r>
      <w:r>
        <w:rPr>
          <w:rFonts w:ascii="Times New Roman" w:hAnsi="Times New Roman"/>
          <w:bCs/>
          <w:sz w:val="24"/>
          <w:szCs w:val="24"/>
        </w:rPr>
        <w:t>1</w:t>
      </w:r>
      <w:r>
        <w:rPr>
          <w:rFonts w:hint="eastAsia" w:ascii="Times New Roman" w:hAnsi="Times New Roman"/>
          <w:bCs/>
          <w:sz w:val="24"/>
          <w:szCs w:val="24"/>
          <w:lang w:val="en-US" w:eastAsia="zh-CN"/>
        </w:rPr>
        <w:t>1</w:t>
      </w:r>
      <w:r>
        <w:rPr>
          <w:rFonts w:hint="eastAsia" w:ascii="Times New Roman" w:hAnsi="Times New Roman"/>
          <w:bCs/>
          <w:sz w:val="24"/>
          <w:szCs w:val="24"/>
        </w:rPr>
        <w:t>月</w:t>
      </w:r>
      <w:r>
        <w:rPr>
          <w:rFonts w:hint="eastAsia" w:ascii="Times New Roman" w:hAnsi="Times New Roman"/>
          <w:bCs/>
          <w:sz w:val="24"/>
          <w:szCs w:val="24"/>
          <w:lang w:val="en-US" w:eastAsia="zh-CN"/>
        </w:rPr>
        <w:t>15</w:t>
      </w:r>
      <w:r>
        <w:rPr>
          <w:rFonts w:hint="eastAsia" w:ascii="Times New Roman" w:hAnsi="Times New Roman"/>
          <w:bCs/>
          <w:sz w:val="24"/>
          <w:szCs w:val="24"/>
        </w:rPr>
        <w:t>日-</w:t>
      </w:r>
      <w:r>
        <w:rPr>
          <w:rFonts w:ascii="Times New Roman" w:hAnsi="Times New Roman"/>
          <w:bCs/>
          <w:sz w:val="24"/>
          <w:szCs w:val="24"/>
        </w:rPr>
        <w:t>2024</w:t>
      </w:r>
      <w:r>
        <w:rPr>
          <w:rFonts w:hint="eastAsia" w:ascii="Times New Roman" w:hAnsi="Times New Roman"/>
          <w:bCs/>
          <w:sz w:val="24"/>
          <w:szCs w:val="24"/>
        </w:rPr>
        <w:t>年</w:t>
      </w:r>
      <w:r>
        <w:rPr>
          <w:rFonts w:hint="eastAsia" w:ascii="Times New Roman" w:hAnsi="Times New Roman"/>
          <w:bCs/>
          <w:sz w:val="24"/>
          <w:szCs w:val="24"/>
          <w:lang w:val="en-US" w:eastAsia="zh-CN"/>
        </w:rPr>
        <w:t>11</w:t>
      </w:r>
      <w:r>
        <w:rPr>
          <w:rFonts w:hint="eastAsia" w:ascii="Times New Roman" w:hAnsi="Times New Roman"/>
          <w:bCs/>
          <w:sz w:val="24"/>
          <w:szCs w:val="24"/>
        </w:rPr>
        <w:t>月</w:t>
      </w:r>
      <w:r>
        <w:rPr>
          <w:rFonts w:ascii="Times New Roman" w:hAnsi="Times New Roman"/>
          <w:bCs/>
          <w:sz w:val="24"/>
          <w:szCs w:val="24"/>
        </w:rPr>
        <w:t>2</w:t>
      </w:r>
      <w:r>
        <w:rPr>
          <w:rFonts w:hint="eastAsia" w:ascii="Times New Roman" w:hAnsi="Times New Roman"/>
          <w:bCs/>
          <w:sz w:val="24"/>
          <w:szCs w:val="24"/>
          <w:lang w:val="en-US" w:eastAsia="zh-CN"/>
        </w:rPr>
        <w:t>1</w:t>
      </w:r>
      <w:r>
        <w:rPr>
          <w:rFonts w:hint="eastAsia" w:ascii="Times New Roman" w:hAnsi="Times New Roman"/>
          <w:bCs/>
          <w:sz w:val="24"/>
          <w:szCs w:val="24"/>
        </w:rPr>
        <w:t>日。</w:t>
      </w:r>
    </w:p>
    <w:p>
      <w:pPr>
        <w:adjustRightInd w:val="0"/>
        <w:snapToGrid w:val="0"/>
        <w:spacing w:line="360" w:lineRule="auto"/>
        <w:rPr>
          <w:rFonts w:hint="eastAsia" w:ascii="Times New Roman" w:hAnsi="Times New Roman"/>
          <w:b/>
          <w:bCs/>
          <w:sz w:val="24"/>
          <w:szCs w:val="24"/>
          <w:lang w:val="en-US" w:eastAsia="zh-CN"/>
        </w:rPr>
      </w:pPr>
      <w:bookmarkStart w:id="40" w:name="_Toc12749"/>
      <w:bookmarkStart w:id="41" w:name="_Toc23599"/>
      <w:r>
        <w:rPr>
          <w:rFonts w:hint="eastAsia" w:ascii="Times New Roman" w:hAnsi="Times New Roman"/>
          <w:b/>
          <w:bCs/>
          <w:sz w:val="24"/>
          <w:szCs w:val="24"/>
          <w:lang w:val="en-US" w:eastAsia="zh-CN"/>
        </w:rPr>
        <w:t>1</w:t>
      </w:r>
      <w:r>
        <w:rPr>
          <w:rFonts w:ascii="Times New Roman" w:hAnsi="Times New Roman"/>
          <w:b/>
          <w:bCs/>
          <w:sz w:val="24"/>
          <w:szCs w:val="24"/>
        </w:rPr>
        <w:t>.</w:t>
      </w:r>
      <w:r>
        <w:rPr>
          <w:rFonts w:hint="eastAsia" w:ascii="Times New Roman" w:hAnsi="Times New Roman"/>
          <w:b/>
          <w:bCs/>
          <w:sz w:val="24"/>
          <w:szCs w:val="24"/>
          <w:lang w:val="en-US" w:eastAsia="zh-CN"/>
        </w:rPr>
        <w:t>4.</w:t>
      </w:r>
      <w:r>
        <w:rPr>
          <w:rFonts w:ascii="Times New Roman" w:hAnsi="Times New Roman"/>
          <w:b/>
          <w:bCs/>
          <w:sz w:val="24"/>
          <w:szCs w:val="24"/>
        </w:rPr>
        <w:t>5 标准征求意见稿</w:t>
      </w:r>
      <w:r>
        <w:rPr>
          <w:rFonts w:hint="eastAsia" w:ascii="Times New Roman" w:hAnsi="Times New Roman"/>
          <w:b/>
          <w:bCs/>
          <w:sz w:val="24"/>
          <w:szCs w:val="24"/>
          <w:lang w:eastAsia="zh-CN"/>
        </w:rPr>
        <w:t>（</w:t>
      </w:r>
      <w:r>
        <w:rPr>
          <w:rFonts w:hint="eastAsia" w:ascii="Times New Roman" w:hAnsi="Times New Roman"/>
          <w:b/>
          <w:bCs/>
          <w:sz w:val="24"/>
          <w:szCs w:val="24"/>
          <w:lang w:val="en-US" w:eastAsia="zh-CN"/>
        </w:rPr>
        <w:t>2023年12月-2024年1月）</w:t>
      </w:r>
    </w:p>
    <w:p>
      <w:pPr>
        <w:adjustRightInd w:val="0"/>
        <w:snapToGrid w:val="0"/>
        <w:spacing w:line="360" w:lineRule="auto"/>
        <w:ind w:firstLine="480" w:firstLineChars="200"/>
        <w:rPr>
          <w:rFonts w:hint="default" w:ascii="Times New Roman" w:hAnsi="Times New Roman" w:eastAsia="宋体"/>
          <w:b w:val="0"/>
          <w:bCs/>
          <w:kern w:val="2"/>
          <w:sz w:val="24"/>
          <w:szCs w:val="24"/>
          <w:lang w:val="en-US" w:eastAsia="zh-CN"/>
        </w:rPr>
      </w:pPr>
      <w:r>
        <w:rPr>
          <w:rFonts w:ascii="Times New Roman" w:hAnsi="Times New Roman"/>
          <w:b w:val="0"/>
          <w:bCs/>
          <w:kern w:val="2"/>
          <w:sz w:val="24"/>
          <w:szCs w:val="24"/>
        </w:rPr>
        <w:t>202</w:t>
      </w:r>
      <w:r>
        <w:rPr>
          <w:rFonts w:hint="default" w:ascii="Times New Roman" w:hAnsi="Times New Roman"/>
          <w:b w:val="0"/>
          <w:bCs/>
          <w:kern w:val="2"/>
          <w:sz w:val="24"/>
          <w:szCs w:val="24"/>
        </w:rPr>
        <w:t>3</w:t>
      </w:r>
      <w:r>
        <w:rPr>
          <w:rFonts w:ascii="Times New Roman" w:hAnsi="Times New Roman"/>
          <w:b w:val="0"/>
          <w:bCs/>
          <w:kern w:val="2"/>
          <w:sz w:val="24"/>
          <w:szCs w:val="24"/>
        </w:rPr>
        <w:t>年</w:t>
      </w:r>
      <w:r>
        <w:rPr>
          <w:rFonts w:hint="eastAsia" w:ascii="Times New Roman" w:hAnsi="Times New Roman"/>
          <w:b w:val="0"/>
          <w:bCs/>
          <w:kern w:val="2"/>
          <w:sz w:val="24"/>
          <w:szCs w:val="24"/>
          <w:lang w:val="en-US" w:eastAsia="zh-CN"/>
        </w:rPr>
        <w:t>12</w:t>
      </w:r>
      <w:r>
        <w:rPr>
          <w:rFonts w:ascii="Times New Roman" w:hAnsi="Times New Roman"/>
          <w:b w:val="0"/>
          <w:bCs/>
          <w:kern w:val="2"/>
          <w:sz w:val="24"/>
          <w:szCs w:val="24"/>
        </w:rPr>
        <w:t>月</w:t>
      </w:r>
      <w:r>
        <w:rPr>
          <w:rFonts w:hint="eastAsia" w:ascii="Times New Roman" w:hAnsi="Times New Roman"/>
          <w:b w:val="0"/>
          <w:bCs/>
          <w:kern w:val="2"/>
          <w:sz w:val="24"/>
          <w:szCs w:val="24"/>
          <w:lang w:val="en-US" w:eastAsia="zh-CN"/>
        </w:rPr>
        <w:t>21日</w:t>
      </w:r>
      <w:r>
        <w:rPr>
          <w:rFonts w:ascii="Times New Roman" w:hAnsi="Times New Roman"/>
          <w:b w:val="0"/>
          <w:bCs/>
          <w:kern w:val="2"/>
          <w:sz w:val="24"/>
          <w:szCs w:val="24"/>
        </w:rPr>
        <w:t>，通过</w:t>
      </w:r>
      <w:r>
        <w:rPr>
          <w:rFonts w:hint="eastAsia" w:ascii="Times New Roman" w:hAnsi="Times New Roman"/>
          <w:b w:val="0"/>
          <w:bCs/>
          <w:kern w:val="2"/>
          <w:sz w:val="24"/>
          <w:szCs w:val="24"/>
          <w:lang w:val="en-US" w:eastAsia="zh-CN"/>
        </w:rPr>
        <w:t>前期</w:t>
      </w:r>
      <w:r>
        <w:rPr>
          <w:rFonts w:ascii="Times New Roman" w:hAnsi="Times New Roman"/>
          <w:b w:val="0"/>
          <w:bCs/>
          <w:kern w:val="2"/>
          <w:sz w:val="24"/>
          <w:szCs w:val="24"/>
        </w:rPr>
        <w:t>开展专家咨询、召开多次内部讨论会就标准起草过程中存在的问题进行集中研讨。</w:t>
      </w:r>
      <w:r>
        <w:rPr>
          <w:rFonts w:hint="eastAsia" w:ascii="Times New Roman" w:hAnsi="Times New Roman"/>
          <w:b w:val="0"/>
          <w:bCs/>
          <w:kern w:val="2"/>
          <w:sz w:val="24"/>
          <w:szCs w:val="24"/>
          <w:lang w:val="en-US" w:eastAsia="zh-CN"/>
        </w:rPr>
        <w:t>经过</w:t>
      </w:r>
      <w:r>
        <w:rPr>
          <w:rFonts w:ascii="Times New Roman" w:hAnsi="Times New Roman"/>
          <w:b w:val="0"/>
          <w:bCs/>
          <w:kern w:val="2"/>
          <w:sz w:val="24"/>
          <w:szCs w:val="24"/>
        </w:rPr>
        <w:t>多次修改和内部讨论，形成《</w:t>
      </w:r>
      <w:r>
        <w:rPr>
          <w:rFonts w:hint="eastAsia" w:ascii="Times New Roman" w:hAnsi="Times New Roman"/>
          <w:sz w:val="24"/>
          <w:szCs w:val="28"/>
        </w:rPr>
        <w:t>煤气净化废气治理工程设计规范</w:t>
      </w:r>
      <w:r>
        <w:rPr>
          <w:rFonts w:ascii="Times New Roman" w:hAnsi="Times New Roman"/>
          <w:b w:val="0"/>
          <w:bCs/>
          <w:kern w:val="2"/>
          <w:sz w:val="24"/>
          <w:szCs w:val="24"/>
        </w:rPr>
        <w:t>（征求意见稿）》、《</w:t>
      </w:r>
      <w:r>
        <w:rPr>
          <w:rFonts w:hint="eastAsia" w:ascii="Times New Roman" w:hAnsi="Times New Roman"/>
          <w:sz w:val="24"/>
          <w:szCs w:val="28"/>
        </w:rPr>
        <w:t>煤气净化废气治理工程设计规范</w:t>
      </w:r>
      <w:r>
        <w:rPr>
          <w:rFonts w:ascii="Times New Roman" w:hAnsi="Times New Roman"/>
          <w:b w:val="0"/>
          <w:bCs/>
          <w:kern w:val="2"/>
          <w:sz w:val="24"/>
          <w:szCs w:val="24"/>
        </w:rPr>
        <w:t>（征求意见稿）编制说明》，并由南京节能环保产业协会公开征求意见。</w:t>
      </w:r>
      <w:r>
        <w:rPr>
          <w:rFonts w:hint="eastAsia" w:ascii="Times New Roman" w:hAnsi="Times New Roman"/>
          <w:b w:val="0"/>
          <w:bCs/>
          <w:kern w:val="2"/>
          <w:sz w:val="24"/>
          <w:szCs w:val="24"/>
          <w:lang w:val="en-US" w:eastAsia="zh-CN"/>
        </w:rPr>
        <w:t>公示期由2023年12月21日-2024年1月21日。</w:t>
      </w:r>
    </w:p>
    <w:p>
      <w:pPr>
        <w:pStyle w:val="2"/>
        <w:spacing w:before="190" w:after="190"/>
      </w:pPr>
      <w:bookmarkStart w:id="105" w:name="_GoBack"/>
      <w:bookmarkEnd w:id="105"/>
      <w:r>
        <w:rPr>
          <w:rFonts w:hint="eastAsia"/>
        </w:rPr>
        <w:t>二、制订标准的必要性和意义</w:t>
      </w:r>
      <w:bookmarkEnd w:id="40"/>
      <w:bookmarkEnd w:id="41"/>
    </w:p>
    <w:p>
      <w:pPr>
        <w:pStyle w:val="3"/>
        <w:tabs>
          <w:tab w:val="left" w:pos="6427"/>
        </w:tabs>
        <w:spacing w:before="190" w:after="190"/>
      </w:pPr>
      <w:bookmarkStart w:id="42" w:name="_Toc8438"/>
      <w:bookmarkStart w:id="43" w:name="_Toc32485"/>
      <w:r>
        <w:rPr>
          <w:rFonts w:hint="eastAsia"/>
        </w:rPr>
        <w:t>2.1 标准制订的必要性</w:t>
      </w:r>
      <w:bookmarkEnd w:id="42"/>
      <w:bookmarkEnd w:id="43"/>
      <w:r>
        <w:rPr>
          <w:rFonts w:hint="eastAsia"/>
        </w:rPr>
        <w:tab/>
      </w:r>
    </w:p>
    <w:p>
      <w:pPr>
        <w:pStyle w:val="5"/>
      </w:pPr>
      <w:r>
        <w:rPr>
          <w:rFonts w:hint="eastAsia"/>
        </w:rPr>
        <w:t>2.1.1与国家、地方法律法规相配套的需要</w:t>
      </w:r>
    </w:p>
    <w:p>
      <w:pPr>
        <w:adjustRightInd w:val="0"/>
        <w:spacing w:line="360" w:lineRule="auto"/>
        <w:ind w:firstLine="480"/>
        <w:rPr>
          <w:rFonts w:ascii="Times New Roman" w:hAnsi="Times New Roman"/>
          <w:sz w:val="24"/>
          <w:szCs w:val="28"/>
        </w:rPr>
      </w:pPr>
      <w:r>
        <w:rPr>
          <w:rFonts w:hint="eastAsia" w:ascii="Times New Roman" w:hAnsi="Times New Roman"/>
          <w:sz w:val="24"/>
          <w:szCs w:val="28"/>
        </w:rPr>
        <w:t>焦化行业唯一的废气治理标准《炼焦化学工业废气治理工程技术规范》（HJ1280-2023）仅在第6.6.1提出“焦炉煤气净化装置内各单元的尾气必须经过相应无害化处理后，达标排放，严禁无组织排放”，没有煤气净化废气治理具体实施细则，导致设计没有参考依据，落地困难。</w:t>
      </w:r>
    </w:p>
    <w:p>
      <w:pPr>
        <w:pStyle w:val="5"/>
      </w:pPr>
      <w:r>
        <w:rPr>
          <w:rFonts w:hint="eastAsia"/>
        </w:rPr>
        <w:t>2.1.2与国家、地方法律法规补充的需要</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《油气回收处理设施技术标准》（</w:t>
      </w:r>
      <w:r>
        <w:rPr>
          <w:rFonts w:ascii="Times New Roman" w:hAnsi="Times New Roman"/>
          <w:sz w:val="24"/>
          <w:szCs w:val="28"/>
        </w:rPr>
        <w:t>GB/T 50759</w:t>
      </w:r>
      <w:r>
        <w:rPr>
          <w:rFonts w:hint="eastAsia" w:ascii="Times New Roman" w:hAnsi="Times New Roman"/>
          <w:sz w:val="24"/>
          <w:szCs w:val="28"/>
        </w:rPr>
        <w:t>-2022）是国内唯一涉及油气治理类设计细节的标准，其适用的对象是“石油化工、煤化工和石油库工程易挥发性可燃液体物料储存和装载系统的油气回收处理设施”，适用于指导纯有机组分、清洁产品贮存、公路铁路、码头装载系统排放油气的油气回收治理设施的工程设计。</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1）煤气净化过程产生废气组成与GB/T 50759所适用油气组分大相径庭。焦化煤气净化工艺过程是对焦化荒煤气进行净化和煤焦油、粗苯深加工过程，该过程产生的废气不仅包含轻质有机组分，还包括粘性的焦油、易结晶的苯萘类，以及剧毒的氰化氢，高毒性的硫化氢和一氧化碳，以及氢气。如何确保这类气体的有效、稳定的收集和输送及治理，该标准没有可执行条文。</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2）焦炉煤气净化</w:t>
      </w:r>
      <w:r>
        <w:rPr>
          <w:rFonts w:ascii="Times New Roman" w:hAnsi="Times New Roman"/>
          <w:sz w:val="24"/>
          <w:szCs w:val="28"/>
        </w:rPr>
        <w:t>废气的性质决定GB/T 50759所列吸附法、冷凝法、膜分离法等治理技术将不适用；同时决定废气的收集方式和输送过程及处理技术以及系统的材料选型、过程安全控制要求等也将发生改变，</w:t>
      </w:r>
      <w:r>
        <w:rPr>
          <w:rFonts w:hint="eastAsia" w:ascii="Times New Roman" w:hAnsi="Times New Roman"/>
          <w:sz w:val="24"/>
          <w:szCs w:val="28"/>
        </w:rPr>
        <w:t>需要</w:t>
      </w:r>
      <w:r>
        <w:rPr>
          <w:rFonts w:ascii="Times New Roman" w:hAnsi="Times New Roman"/>
          <w:sz w:val="24"/>
          <w:szCs w:val="28"/>
        </w:rPr>
        <w:t>相应标准细则来规范设计。</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3）焦炉煤气净化</w:t>
      </w:r>
      <w:r>
        <w:rPr>
          <w:rFonts w:ascii="Times New Roman" w:hAnsi="Times New Roman"/>
          <w:sz w:val="24"/>
          <w:szCs w:val="28"/>
        </w:rPr>
        <w:t>废气治理</w:t>
      </w:r>
      <w:r>
        <w:rPr>
          <w:rFonts w:hint="eastAsia" w:ascii="Times New Roman" w:hAnsi="Times New Roman"/>
          <w:sz w:val="24"/>
          <w:szCs w:val="28"/>
        </w:rPr>
        <w:t>工程的收集系统需要</w:t>
      </w:r>
      <w:r>
        <w:rPr>
          <w:rFonts w:ascii="Times New Roman" w:hAnsi="Times New Roman"/>
          <w:sz w:val="24"/>
          <w:szCs w:val="28"/>
        </w:rPr>
        <w:t>实施罐罐联通</w:t>
      </w:r>
      <w:r>
        <w:rPr>
          <w:rFonts w:hint="eastAsia" w:ascii="Times New Roman" w:hAnsi="Times New Roman"/>
          <w:sz w:val="24"/>
          <w:szCs w:val="28"/>
        </w:rPr>
        <w:t>改造</w:t>
      </w:r>
      <w:r>
        <w:rPr>
          <w:rFonts w:ascii="Times New Roman" w:hAnsi="Times New Roman"/>
          <w:sz w:val="24"/>
          <w:szCs w:val="28"/>
        </w:rPr>
        <w:t>，导致的系统安全风险大增</w:t>
      </w:r>
      <w:r>
        <w:rPr>
          <w:rFonts w:hint="eastAsia" w:ascii="Times New Roman" w:hAnsi="Times New Roman"/>
          <w:sz w:val="24"/>
          <w:szCs w:val="28"/>
        </w:rPr>
        <w:t>；</w:t>
      </w:r>
      <w:r>
        <w:rPr>
          <w:rFonts w:ascii="Times New Roman" w:hAnsi="Times New Roman"/>
          <w:sz w:val="24"/>
          <w:szCs w:val="28"/>
        </w:rPr>
        <w:t>目前大多数</w:t>
      </w:r>
      <w:r>
        <w:rPr>
          <w:rFonts w:hint="eastAsia" w:ascii="Times New Roman" w:hAnsi="Times New Roman"/>
          <w:sz w:val="24"/>
          <w:szCs w:val="28"/>
        </w:rPr>
        <w:t>煤气净化</w:t>
      </w:r>
      <w:r>
        <w:rPr>
          <w:rFonts w:ascii="Times New Roman" w:hAnsi="Times New Roman"/>
          <w:sz w:val="24"/>
          <w:szCs w:val="28"/>
        </w:rPr>
        <w:t>废气治理</w:t>
      </w:r>
      <w:r>
        <w:rPr>
          <w:rFonts w:hint="eastAsia" w:ascii="Times New Roman" w:hAnsi="Times New Roman"/>
          <w:sz w:val="24"/>
          <w:szCs w:val="28"/>
        </w:rPr>
        <w:t>系统</w:t>
      </w:r>
      <w:r>
        <w:rPr>
          <w:rFonts w:ascii="Times New Roman" w:hAnsi="Times New Roman"/>
          <w:sz w:val="24"/>
          <w:szCs w:val="28"/>
        </w:rPr>
        <w:t>的设置不规范，风险识别不清，保护层不够，不能有效防范和减低风险的发生，需要用标准来规范。</w:t>
      </w:r>
    </w:p>
    <w:p>
      <w:pPr>
        <w:pStyle w:val="5"/>
      </w:pPr>
      <w:r>
        <w:rPr>
          <w:rFonts w:hint="eastAsia"/>
        </w:rPr>
        <w:t>2.1.3为煤气净化废气治理提供支撑</w:t>
      </w:r>
    </w:p>
    <w:p>
      <w:pPr>
        <w:adjustRightInd w:val="0"/>
        <w:snapToGrid w:val="0"/>
        <w:spacing w:line="360" w:lineRule="auto"/>
        <w:rPr>
          <w:rFonts w:ascii="Times New Roman" w:hAnsi="Times New Roman"/>
          <w:color w:val="FF0000"/>
          <w:sz w:val="24"/>
          <w:szCs w:val="28"/>
        </w:rPr>
      </w:pPr>
      <w:r>
        <w:rPr>
          <w:rFonts w:hint="eastAsia" w:ascii="Times New Roman" w:hAnsi="Times New Roman"/>
          <w:sz w:val="24"/>
          <w:szCs w:val="28"/>
        </w:rPr>
        <w:t>煤气净化废气治理系统设计五花八门：</w:t>
      </w:r>
    </w:p>
    <w:p>
      <w:pPr>
        <w:numPr>
          <w:ilvl w:val="255"/>
          <w:numId w:val="0"/>
        </w:numPr>
        <w:adjustRightInd w:val="0"/>
        <w:snapToGrid w:val="0"/>
        <w:spacing w:line="360" w:lineRule="auto"/>
        <w:rPr>
          <w:rFonts w:ascii="Times New Roman" w:hAnsi="Times New Roman"/>
          <w:sz w:val="24"/>
          <w:szCs w:val="28"/>
        </w:rPr>
      </w:pPr>
      <w:r>
        <w:rPr>
          <w:rFonts w:hint="eastAsia" w:ascii="Times New Roman" w:hAnsi="Times New Roman"/>
          <w:sz w:val="24"/>
          <w:szCs w:val="28"/>
        </w:rPr>
        <w:t>2.1.3.1储罐废气收集过于简单，无法满足安全稳定运行：</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a)储罐排气直接连在呼吸阀的出口上，目的是想通过呼吸阀的启闭控制废气排放，但因废气含有结晶组分，导致呼吸阀失效、储罐压力不可控，并形成连续排气。储罐压力不可控对焦炉煤气净化系统会带来严重的风险；连续排气的结果是排气量增大，挥发的有机物浓度升高。</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b)储罐不设置或设置简易的补氮阀组，导致补氮量大增或者不足，要么浪费氮气、要么储罐负压，有抽瘪风险。</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c)储罐顶部气相空间未设置压力变送器来控制补氮和废气排放，无法控制储罐压力，随时可以能出现安全风险。</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储罐排气管线只设置一个手动阀门未设置与压力联锁的自动阀门，无法控制储罐压力、无法控制排放气量。</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d)储罐呼吸阀未设置阻火器来防止顶部火焰传递到罐内；呼吸阀设置不合理，依然连续无组织排放废气。</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e)储罐未设置液压安全阀作为最后的保护层。</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f)排气管道未设置阻爆轰阻火器来防范管道火花对储罐产生的危害。</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g)排气管道未设置蒸汽吹扫等设施，管道在运行不久就堵死，导致系统无法运行。</w:t>
      </w:r>
    </w:p>
    <w:p>
      <w:pPr>
        <w:numPr>
          <w:ilvl w:val="255"/>
          <w:numId w:val="0"/>
        </w:numPr>
        <w:adjustRightInd w:val="0"/>
        <w:snapToGrid w:val="0"/>
        <w:spacing w:line="360" w:lineRule="auto"/>
        <w:rPr>
          <w:rFonts w:ascii="Times New Roman" w:hAnsi="Times New Roman"/>
          <w:sz w:val="24"/>
          <w:szCs w:val="28"/>
        </w:rPr>
      </w:pPr>
      <w:r>
        <w:rPr>
          <w:rFonts w:hint="eastAsia" w:ascii="Times New Roman" w:hAnsi="Times New Roman"/>
          <w:sz w:val="24"/>
          <w:szCs w:val="28"/>
        </w:rPr>
        <w:t>2.1.3.2废气</w:t>
      </w:r>
      <w:r>
        <w:rPr>
          <w:rFonts w:ascii="Times New Roman" w:hAnsi="Times New Roman"/>
          <w:sz w:val="24"/>
          <w:szCs w:val="28"/>
        </w:rPr>
        <w:t>输送</w:t>
      </w:r>
      <w:r>
        <w:rPr>
          <w:rFonts w:hint="eastAsia" w:ascii="Times New Roman" w:hAnsi="Times New Roman"/>
          <w:sz w:val="24"/>
          <w:szCs w:val="28"/>
        </w:rPr>
        <w:t>设计不合理也不规范</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a)</w:t>
      </w:r>
      <w:r>
        <w:rPr>
          <w:rFonts w:ascii="Times New Roman" w:hAnsi="Times New Roman"/>
          <w:sz w:val="24"/>
          <w:szCs w:val="28"/>
        </w:rPr>
        <w:t>基本采用</w:t>
      </w:r>
      <w:r>
        <w:rPr>
          <w:rFonts w:hint="eastAsia" w:ascii="Times New Roman" w:hAnsi="Times New Roman"/>
          <w:sz w:val="24"/>
          <w:szCs w:val="28"/>
        </w:rPr>
        <w:t>工频</w:t>
      </w:r>
      <w:r>
        <w:rPr>
          <w:rFonts w:ascii="Times New Roman" w:hAnsi="Times New Roman"/>
          <w:sz w:val="24"/>
          <w:szCs w:val="28"/>
        </w:rPr>
        <w:t>离心风机，难以适应气量变化范围，导致运行不正常；风机前后不设置有效的阻火器或未设置阻火器，不能防范风机产生的火花风险。</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b)</w:t>
      </w:r>
      <w:r>
        <w:rPr>
          <w:rFonts w:ascii="Times New Roman" w:hAnsi="Times New Roman"/>
          <w:sz w:val="24"/>
          <w:szCs w:val="28"/>
        </w:rPr>
        <w:t>废气输送管道未设置伴热、保温、吹扫、排水等设施。</w:t>
      </w:r>
    </w:p>
    <w:p>
      <w:pPr>
        <w:numPr>
          <w:ilvl w:val="255"/>
          <w:numId w:val="0"/>
        </w:numPr>
        <w:adjustRightInd w:val="0"/>
        <w:snapToGrid w:val="0"/>
        <w:spacing w:line="360" w:lineRule="auto"/>
        <w:rPr>
          <w:rFonts w:ascii="Times New Roman" w:hAnsi="Times New Roman"/>
          <w:b/>
          <w:bCs/>
          <w:sz w:val="24"/>
          <w:szCs w:val="28"/>
        </w:rPr>
      </w:pPr>
      <w:r>
        <w:rPr>
          <w:rFonts w:hint="eastAsia" w:ascii="Times New Roman" w:hAnsi="Times New Roman"/>
          <w:b/>
          <w:bCs/>
          <w:sz w:val="24"/>
          <w:szCs w:val="28"/>
        </w:rPr>
        <w:t>2.1.3.3废气</w:t>
      </w:r>
      <w:r>
        <w:rPr>
          <w:rFonts w:ascii="Times New Roman" w:hAnsi="Times New Roman"/>
          <w:b/>
          <w:bCs/>
          <w:sz w:val="24"/>
          <w:szCs w:val="28"/>
        </w:rPr>
        <w:t>治理工艺不科学</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a)有采用冷凝工艺，因不了解废气的性质，在投运后系统就不能正常运行，质量集中故障报警联锁频繁、内部堵死，系统管道堵死。</w:t>
      </w:r>
    </w:p>
    <w:p>
      <w:pPr>
        <w:numPr>
          <w:ilvl w:val="255"/>
          <w:numId w:val="0"/>
        </w:num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b)有采用收集直接送既有加热炉焚烧工艺，投运后不久，由于存在闪爆现象怕影响锅炉稳定性，在靠近炉前集中排放。</w:t>
      </w:r>
    </w:p>
    <w:p>
      <w:pPr>
        <w:adjustRightInd w:val="0"/>
        <w:snapToGrid w:val="0"/>
        <w:spacing w:line="360" w:lineRule="auto"/>
        <w:rPr>
          <w:rFonts w:ascii="Times New Roman" w:hAnsi="Times New Roman"/>
          <w:sz w:val="24"/>
          <w:szCs w:val="28"/>
        </w:rPr>
      </w:pPr>
      <w:r>
        <w:rPr>
          <w:rFonts w:hint="eastAsia" w:ascii="Times New Roman" w:hAnsi="Times New Roman"/>
          <w:sz w:val="24"/>
          <w:szCs w:val="28"/>
        </w:rPr>
        <w:t>2.1.3.4有采用较为完善的系统收集，但储罐在特定的时间段任然向大气排放废气，并导致一直泄漏，又回到无组织排放状态。</w:t>
      </w:r>
    </w:p>
    <w:p>
      <w:pPr>
        <w:adjustRightInd w:val="0"/>
        <w:snapToGrid w:val="0"/>
        <w:spacing w:line="360" w:lineRule="auto"/>
        <w:rPr>
          <w:rFonts w:ascii="Times New Roman" w:hAnsi="Times New Roman"/>
          <w:sz w:val="24"/>
          <w:szCs w:val="28"/>
        </w:rPr>
      </w:pPr>
      <w:r>
        <w:rPr>
          <w:rFonts w:hint="eastAsia" w:ascii="Times New Roman" w:hAnsi="Times New Roman"/>
          <w:sz w:val="24"/>
          <w:szCs w:val="28"/>
        </w:rPr>
        <w:t>2.1.3.5有的煤气净化废气治理系统，居然没有一个合适的阻火器或阻火设施来确保火灾危险时隔绝火灾的互串。</w:t>
      </w:r>
    </w:p>
    <w:p>
      <w:pPr>
        <w:adjustRightInd w:val="0"/>
        <w:snapToGrid w:val="0"/>
        <w:spacing w:line="360" w:lineRule="auto"/>
        <w:rPr>
          <w:rFonts w:ascii="Times New Roman" w:hAnsi="Times New Roman"/>
          <w:sz w:val="24"/>
          <w:szCs w:val="28"/>
        </w:rPr>
      </w:pPr>
      <w:r>
        <w:rPr>
          <w:rFonts w:hint="eastAsia" w:ascii="Times New Roman" w:hAnsi="Times New Roman"/>
          <w:sz w:val="24"/>
          <w:szCs w:val="28"/>
        </w:rPr>
        <w:t>2.1.3.6有的末端焚烧系统，居然没有设置或没有科学、可靠设置可燃气体25%LEL检测和联锁排放系统，导致焚烧设备爆炸事故。</w:t>
      </w:r>
    </w:p>
    <w:p>
      <w:pPr>
        <w:adjustRightInd w:val="0"/>
        <w:snapToGrid w:val="0"/>
        <w:spacing w:line="360" w:lineRule="auto"/>
        <w:rPr>
          <w:rFonts w:ascii="Times New Roman" w:hAnsi="Times New Roman"/>
          <w:sz w:val="24"/>
          <w:szCs w:val="28"/>
        </w:rPr>
      </w:pPr>
      <w:r>
        <w:rPr>
          <w:rFonts w:hint="eastAsia" w:ascii="Times New Roman" w:hAnsi="Times New Roman"/>
          <w:sz w:val="24"/>
          <w:szCs w:val="28"/>
        </w:rPr>
        <w:t>2.1.3.7有采用碳钢管道输送含硫化氢废气的收集系统，发生硫化亚铁火灾事故。</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许许多多不成功的案例，正如生态环境部这些年的总结的一样，都迫切要求有一个科学的标准来指导煤气净化废气治理工程设计，以确保每一个环节的设计满足长周期安全稳定的要求，为煤气净化废气治理提供充分的技术支持。</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 xml:space="preserve"> </w:t>
      </w:r>
      <w:r>
        <w:rPr>
          <w:rFonts w:ascii="Times New Roman" w:hAnsi="Times New Roman"/>
          <w:sz w:val="24"/>
          <w:szCs w:val="28"/>
        </w:rPr>
        <w:t>2019年6月，生态环境部《重点行业挥发性有机物综合治理方案》指出：“VOCs废气组分复杂，治理技术多样，适用性差异大，技术选择和系统匹配性要求高。准入门槛低，加之监管能力不足等，治污设施建设质量良莠不齐，应付治理、无效治理等现象突出。一些企业由于设计不规范、系统不匹配等原因，即使选择了高效治理技术，也未取得预期治污效果”。</w:t>
      </w:r>
    </w:p>
    <w:p>
      <w:pPr>
        <w:adjustRightInd w:val="0"/>
        <w:snapToGrid w:val="0"/>
        <w:spacing w:line="360" w:lineRule="auto"/>
        <w:ind w:firstLine="480" w:firstLineChars="200"/>
        <w:rPr>
          <w:rFonts w:ascii="Times New Roman" w:hAnsi="Times New Roman"/>
          <w:sz w:val="24"/>
          <w:szCs w:val="28"/>
          <w:lang w:eastAsia="zh-Hans"/>
        </w:rPr>
      </w:pPr>
      <w:r>
        <w:rPr>
          <w:rFonts w:ascii="Times New Roman" w:hAnsi="Times New Roman"/>
          <w:sz w:val="24"/>
          <w:szCs w:val="28"/>
        </w:rPr>
        <w:t>2021年8月4日，生态环境部环大气〔2021〕65号文附件第七部分“有机废气治理设施”指出的“治理设施设计不规范、与生产系统不匹配；治理设施建设质量良莠不齐，应付治理、无效治理等现象突出</w:t>
      </w:r>
      <w:r>
        <w:rPr>
          <w:rFonts w:hint="eastAsia" w:ascii="Times New Roman" w:hAnsi="Times New Roman"/>
          <w:sz w:val="24"/>
          <w:szCs w:val="28"/>
          <w:lang w:eastAsia="zh-Hans"/>
        </w:rPr>
        <w:t>”</w:t>
      </w:r>
      <w:r>
        <w:rPr>
          <w:rFonts w:ascii="Times New Roman" w:hAnsi="Times New Roman"/>
          <w:sz w:val="24"/>
          <w:szCs w:val="28"/>
          <w:lang w:eastAsia="zh-Hans"/>
        </w:rPr>
        <w:t>。</w:t>
      </w:r>
    </w:p>
    <w:p>
      <w:pPr>
        <w:adjustRightInd w:val="0"/>
        <w:snapToGrid w:val="0"/>
        <w:spacing w:line="360" w:lineRule="auto"/>
        <w:ind w:firstLine="480" w:firstLineChars="200"/>
        <w:rPr>
          <w:rFonts w:ascii="Times New Roman" w:hAnsi="Times New Roman"/>
          <w:sz w:val="24"/>
          <w:szCs w:val="28"/>
          <w:lang w:eastAsia="zh-Hans"/>
        </w:rPr>
      </w:pPr>
      <w:r>
        <w:rPr>
          <w:rFonts w:ascii="Times New Roman" w:hAnsi="Times New Roman"/>
          <w:sz w:val="24"/>
          <w:szCs w:val="28"/>
        </w:rPr>
        <w:t xml:space="preserve"> 2022年11月4日，生态环保部张大伟：“无组织排放触目惊心”、”简易低效设施泛滥成灾</w:t>
      </w:r>
      <w:r>
        <w:rPr>
          <w:rFonts w:hint="eastAsia" w:ascii="Times New Roman" w:hAnsi="Times New Roman"/>
          <w:sz w:val="24"/>
          <w:szCs w:val="28"/>
          <w:lang w:eastAsia="zh-Hans"/>
        </w:rPr>
        <w:t>”</w:t>
      </w:r>
      <w:r>
        <w:rPr>
          <w:rFonts w:ascii="Times New Roman" w:hAnsi="Times New Roman"/>
          <w:sz w:val="24"/>
          <w:szCs w:val="28"/>
        </w:rPr>
        <w:t>、</w:t>
      </w:r>
      <w:r>
        <w:rPr>
          <w:rFonts w:hint="eastAsia" w:ascii="Times New Roman" w:hAnsi="Times New Roman"/>
          <w:sz w:val="24"/>
          <w:szCs w:val="28"/>
          <w:lang w:eastAsia="zh-Hans"/>
        </w:rPr>
        <w:t>“</w:t>
      </w:r>
      <w:r>
        <w:rPr>
          <w:rFonts w:ascii="Times New Roman" w:hAnsi="Times New Roman"/>
          <w:sz w:val="24"/>
          <w:szCs w:val="28"/>
        </w:rPr>
        <w:t>高效治理设备形同虚设</w:t>
      </w:r>
      <w:r>
        <w:rPr>
          <w:rFonts w:hint="eastAsia" w:ascii="Times New Roman" w:hAnsi="Times New Roman"/>
          <w:sz w:val="24"/>
          <w:szCs w:val="28"/>
          <w:lang w:eastAsia="zh-Hans"/>
        </w:rPr>
        <w:t>”</w:t>
      </w:r>
      <w:r>
        <w:rPr>
          <w:rFonts w:ascii="Times New Roman" w:hAnsi="Times New Roman"/>
          <w:sz w:val="24"/>
          <w:szCs w:val="28"/>
        </w:rPr>
        <w:t>，由于</w:t>
      </w:r>
      <w:r>
        <w:rPr>
          <w:rFonts w:hint="eastAsia" w:ascii="Times New Roman" w:hAnsi="Times New Roman"/>
          <w:sz w:val="24"/>
          <w:szCs w:val="28"/>
          <w:lang w:eastAsia="zh-Hans"/>
        </w:rPr>
        <w:t>“</w:t>
      </w:r>
      <w:r>
        <w:rPr>
          <w:rFonts w:ascii="Times New Roman" w:hAnsi="Times New Roman"/>
          <w:sz w:val="24"/>
          <w:szCs w:val="28"/>
        </w:rPr>
        <w:t>设计不规范</w:t>
      </w:r>
      <w:r>
        <w:rPr>
          <w:rFonts w:hint="eastAsia" w:ascii="Times New Roman" w:hAnsi="Times New Roman"/>
          <w:sz w:val="24"/>
          <w:szCs w:val="28"/>
          <w:lang w:eastAsia="zh-Hans"/>
        </w:rPr>
        <w:t>”</w:t>
      </w:r>
      <w:r>
        <w:rPr>
          <w:rFonts w:ascii="Times New Roman" w:hAnsi="Times New Roman"/>
          <w:sz w:val="24"/>
          <w:szCs w:val="28"/>
        </w:rPr>
        <w:t>、</w:t>
      </w:r>
      <w:r>
        <w:rPr>
          <w:rFonts w:hint="eastAsia" w:ascii="Times New Roman" w:hAnsi="Times New Roman"/>
          <w:sz w:val="24"/>
          <w:szCs w:val="28"/>
          <w:lang w:eastAsia="zh-Hans"/>
        </w:rPr>
        <w:t>“</w:t>
      </w:r>
      <w:r>
        <w:rPr>
          <w:rFonts w:ascii="Times New Roman" w:hAnsi="Times New Roman"/>
          <w:sz w:val="24"/>
          <w:szCs w:val="28"/>
        </w:rPr>
        <w:t>系统不匹配</w:t>
      </w:r>
      <w:r>
        <w:rPr>
          <w:rFonts w:hint="eastAsia" w:ascii="Times New Roman" w:hAnsi="Times New Roman"/>
          <w:sz w:val="24"/>
          <w:szCs w:val="28"/>
          <w:lang w:eastAsia="zh-Hans"/>
        </w:rPr>
        <w:t>”</w:t>
      </w:r>
      <w:r>
        <w:rPr>
          <w:rFonts w:ascii="Times New Roman" w:hAnsi="Times New Roman"/>
          <w:sz w:val="24"/>
          <w:szCs w:val="28"/>
        </w:rPr>
        <w:t>、</w:t>
      </w:r>
      <w:r>
        <w:rPr>
          <w:rFonts w:hint="eastAsia" w:ascii="Times New Roman" w:hAnsi="Times New Roman"/>
          <w:sz w:val="24"/>
          <w:szCs w:val="28"/>
          <w:lang w:eastAsia="zh-Hans"/>
        </w:rPr>
        <w:t>“</w:t>
      </w:r>
      <w:r>
        <w:rPr>
          <w:rFonts w:ascii="Times New Roman" w:hAnsi="Times New Roman"/>
          <w:sz w:val="24"/>
          <w:szCs w:val="28"/>
        </w:rPr>
        <w:t>密闭不到位</w:t>
      </w:r>
      <w:r>
        <w:rPr>
          <w:rFonts w:hint="eastAsia" w:ascii="Times New Roman" w:hAnsi="Times New Roman"/>
          <w:sz w:val="24"/>
          <w:szCs w:val="28"/>
          <w:lang w:eastAsia="zh-Hans"/>
        </w:rPr>
        <w:t>”</w:t>
      </w:r>
      <w:r>
        <w:rPr>
          <w:rFonts w:ascii="Times New Roman" w:hAnsi="Times New Roman"/>
          <w:sz w:val="24"/>
          <w:szCs w:val="28"/>
        </w:rPr>
        <w:t>、</w:t>
      </w:r>
      <w:r>
        <w:rPr>
          <w:rFonts w:hint="eastAsia" w:ascii="Times New Roman" w:hAnsi="Times New Roman"/>
          <w:sz w:val="24"/>
          <w:szCs w:val="28"/>
          <w:lang w:eastAsia="zh-Hans"/>
        </w:rPr>
        <w:t>“</w:t>
      </w:r>
      <w:r>
        <w:rPr>
          <w:rFonts w:ascii="Times New Roman" w:hAnsi="Times New Roman"/>
          <w:sz w:val="24"/>
          <w:szCs w:val="28"/>
        </w:rPr>
        <w:t>收集不彻底</w:t>
      </w:r>
      <w:r>
        <w:rPr>
          <w:rFonts w:hint="eastAsia" w:ascii="Times New Roman" w:hAnsi="Times New Roman"/>
          <w:sz w:val="24"/>
          <w:szCs w:val="28"/>
          <w:lang w:eastAsia="zh-Hans"/>
        </w:rPr>
        <w:t>”</w:t>
      </w:r>
      <w:r>
        <w:rPr>
          <w:rFonts w:ascii="Times New Roman" w:hAnsi="Times New Roman"/>
          <w:sz w:val="24"/>
          <w:szCs w:val="28"/>
          <w:lang w:eastAsia="zh-Hans"/>
        </w:rPr>
        <w:t>。</w:t>
      </w:r>
    </w:p>
    <w:p>
      <w:pPr>
        <w:pStyle w:val="3"/>
        <w:spacing w:before="190" w:after="190"/>
      </w:pPr>
      <w:bookmarkStart w:id="44" w:name="_Toc1505"/>
      <w:bookmarkStart w:id="45" w:name="_Toc16985"/>
      <w:r>
        <w:rPr>
          <w:rFonts w:hint="eastAsia"/>
        </w:rPr>
        <w:t>2.2 标准编制的意义</w:t>
      </w:r>
      <w:bookmarkEnd w:id="16"/>
      <w:bookmarkEnd w:id="23"/>
      <w:bookmarkEnd w:id="24"/>
      <w:bookmarkEnd w:id="44"/>
      <w:bookmarkEnd w:id="45"/>
      <w:bookmarkStart w:id="46" w:name="_Toc129476417"/>
      <w:bookmarkStart w:id="47" w:name="_Toc34937149"/>
      <w:bookmarkStart w:id="48" w:name="_Toc91145288"/>
    </w:p>
    <w:p>
      <w:pPr>
        <w:pStyle w:val="24"/>
        <w:widowControl/>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2.2.1制订一个科学的、满足目前废气治理需求及可持续发展的技术文件，统一准入门槛，杜绝“应付治理”“良莠不齐”、“无效治理”。</w:t>
      </w:r>
    </w:p>
    <w:p>
      <w:pPr>
        <w:pStyle w:val="24"/>
        <w:widowControl/>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2.2.2规范煤气净化废气治理设计全过程；保障治理的科学性、安全性和长期有效稳定性，满足排放达标、操作简单、运行平稳的技术要求。</w:t>
      </w:r>
    </w:p>
    <w:p>
      <w:pPr>
        <w:pStyle w:val="24"/>
        <w:widowControl/>
        <w:spacing w:line="360" w:lineRule="auto"/>
        <w:rPr>
          <w:rFonts w:ascii="Times New Roman" w:hAnsi="Times New Roman"/>
          <w:sz w:val="24"/>
          <w:szCs w:val="28"/>
        </w:rPr>
      </w:pPr>
      <w:r>
        <w:rPr>
          <w:rFonts w:hint="eastAsia" w:ascii="Times New Roman" w:hAnsi="Times New Roman"/>
          <w:color w:val="000000" w:themeColor="text1"/>
          <w:sz w:val="24"/>
          <w:szCs w:val="28"/>
          <w14:textFill>
            <w14:solidFill>
              <w14:schemeClr w14:val="tx1"/>
            </w14:solidFill>
          </w14:textFill>
        </w:rPr>
        <w:t>2.2.3解决环保部所述“设计不规范”等种种乱象，彻底解决煤气净化废气治理难题，实现废气治理“安、稳、产、满、优”的达标排放的目的。</w:t>
      </w:r>
    </w:p>
    <w:p>
      <w:pPr>
        <w:pStyle w:val="2"/>
        <w:numPr>
          <w:ilvl w:val="0"/>
          <w:numId w:val="4"/>
        </w:numPr>
        <w:spacing w:before="190" w:after="190"/>
      </w:pPr>
      <w:bookmarkStart w:id="49" w:name="_Toc5772"/>
      <w:bookmarkStart w:id="50" w:name="_Toc5701"/>
      <w:r>
        <w:rPr>
          <w:rFonts w:hint="eastAsia"/>
        </w:rPr>
        <w:t>标准制订原则</w:t>
      </w:r>
      <w:bookmarkStart w:id="51" w:name="_Toc91145298"/>
      <w:bookmarkStart w:id="52" w:name="_Toc129476425"/>
      <w:r>
        <w:rPr>
          <w:rFonts w:hint="eastAsia"/>
        </w:rPr>
        <w:t>和依据</w:t>
      </w:r>
      <w:bookmarkEnd w:id="49"/>
      <w:bookmarkEnd w:id="50"/>
    </w:p>
    <w:bookmarkEnd w:id="51"/>
    <w:bookmarkEnd w:id="52"/>
    <w:p>
      <w:pPr>
        <w:pStyle w:val="3"/>
        <w:spacing w:before="190" w:after="190"/>
      </w:pPr>
      <w:bookmarkStart w:id="53" w:name="_Toc23807"/>
      <w:bookmarkStart w:id="54" w:name="_Toc8722"/>
      <w:bookmarkStart w:id="55" w:name="_Toc91145299"/>
      <w:bookmarkStart w:id="56" w:name="_Toc129476426"/>
      <w:r>
        <w:rPr>
          <w:rFonts w:hint="eastAsia"/>
        </w:rPr>
        <w:t>3.1 编制原则</w:t>
      </w:r>
      <w:bookmarkEnd w:id="53"/>
      <w:bookmarkEnd w:id="54"/>
      <w:bookmarkEnd w:id="55"/>
      <w:bookmarkEnd w:id="56"/>
    </w:p>
    <w:p>
      <w:pPr>
        <w:pStyle w:val="24"/>
        <w:widowControl/>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 xml:space="preserve">本标准编制遵循的主要原则是: </w:t>
      </w:r>
    </w:p>
    <w:p>
      <w:pPr>
        <w:pStyle w:val="24"/>
        <w:widowControl/>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 xml:space="preserve">3.1.1运用科学方法，充分评估煤气净化过程的易燃和可燃液体及其储运工艺，以及煤气净化过程产生废气的火灾危险性、毒性，采取有针对性的防范措施；总结相关企业不成功的经验教训，不断完善规范内容，保证规范的科学性。 </w:t>
      </w:r>
    </w:p>
    <w:p>
      <w:pPr>
        <w:pStyle w:val="24"/>
        <w:widowControl/>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 xml:space="preserve">3.1.2参考和借鉴其它行业的标准，注重采纳新技术、新工艺、新材料，促进煤气净化废气治理水平不断提高，保证规范的先进性。 </w:t>
      </w:r>
    </w:p>
    <w:p>
      <w:pPr>
        <w:pStyle w:val="24"/>
        <w:widowControl/>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 xml:space="preserve">3.1.3与国内相关标准规范相协调，在相同问题上尽量统一，避免大的差异，保证规范的协调性。 </w:t>
      </w:r>
    </w:p>
    <w:p>
      <w:pPr>
        <w:pStyle w:val="24"/>
        <w:widowControl/>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3.1.4充分结合我国国情，兼顾技术水平、经济实力、安全环保，采取合理、适度的安全防范措施，制订各方均能接受的规定，保证规范的可操作性。</w:t>
      </w:r>
    </w:p>
    <w:p>
      <w:pPr>
        <w:pStyle w:val="24"/>
        <w:widowControl/>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 xml:space="preserve"> </w:t>
      </w:r>
      <w:bookmarkStart w:id="57" w:name="_Toc91145300"/>
      <w:bookmarkStart w:id="58" w:name="_Toc129476427"/>
      <w:r>
        <w:rPr>
          <w:rFonts w:hint="eastAsia" w:ascii="Times New Roman" w:hAnsi="Times New Roman"/>
          <w:color w:val="000000" w:themeColor="text1"/>
          <w:sz w:val="24"/>
          <w:szCs w:val="28"/>
          <w14:textFill>
            <w14:solidFill>
              <w14:schemeClr w14:val="tx1"/>
            </w14:solidFill>
          </w14:textFill>
        </w:rPr>
        <w:t>3.1.5 为提升本标准的可操作性，本标准将细化煤气净化废气治理系统的每一个设计细节。</w:t>
      </w:r>
      <w:bookmarkStart w:id="59" w:name="_Toc10578"/>
      <w:bookmarkStart w:id="60" w:name="_Toc5007"/>
    </w:p>
    <w:p>
      <w:pPr>
        <w:pStyle w:val="24"/>
        <w:widowControl/>
        <w:spacing w:line="360" w:lineRule="auto"/>
      </w:pPr>
      <w:r>
        <w:rPr>
          <w:rFonts w:hint="eastAsia"/>
        </w:rPr>
        <w:t>3.2 编制依据</w:t>
      </w:r>
      <w:bookmarkEnd w:id="57"/>
      <w:bookmarkEnd w:id="58"/>
      <w:bookmarkEnd w:id="59"/>
      <w:bookmarkEnd w:id="60"/>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3.2.1 规范性引用文件</w:t>
      </w:r>
    </w:p>
    <w:p>
      <w:pPr>
        <w:pStyle w:val="26"/>
        <w:ind w:firstLine="420"/>
      </w:pPr>
      <w:r>
        <w:t>GB</w:t>
      </w:r>
      <w:r>
        <w:rPr>
          <w:rFonts w:hint="eastAsia"/>
        </w:rPr>
        <w:t xml:space="preserve"> </w:t>
      </w:r>
      <w:r>
        <w:t>6222</w:t>
      </w:r>
      <w:r>
        <w:rPr>
          <w:rFonts w:hint="eastAsia"/>
        </w:rPr>
        <w:t xml:space="preserve">  </w:t>
      </w:r>
      <w:r>
        <w:t>工业企业煤气安全规程</w:t>
      </w:r>
    </w:p>
    <w:p>
      <w:pPr>
        <w:pStyle w:val="26"/>
        <w:ind w:firstLine="420"/>
      </w:pPr>
      <w:r>
        <w:t>GB/T</w:t>
      </w:r>
      <w:r>
        <w:rPr>
          <w:rFonts w:hint="eastAsia"/>
        </w:rPr>
        <w:t xml:space="preserve"> </w:t>
      </w:r>
      <w:r>
        <w:t>8163</w:t>
      </w:r>
      <w:r>
        <w:rPr>
          <w:rFonts w:hint="eastAsia"/>
        </w:rPr>
        <w:t xml:space="preserve">  输送流体用无缝钢管</w:t>
      </w:r>
    </w:p>
    <w:p>
      <w:pPr>
        <w:pStyle w:val="26"/>
        <w:ind w:firstLine="420"/>
      </w:pPr>
      <w:r>
        <w:t>GB 12710  焦化安全规程</w:t>
      </w:r>
    </w:p>
    <w:p>
      <w:pPr>
        <w:pStyle w:val="26"/>
        <w:ind w:firstLine="420"/>
      </w:pPr>
      <w:r>
        <w:t>GB/T</w:t>
      </w:r>
      <w:r>
        <w:rPr>
          <w:rFonts w:hint="eastAsia"/>
        </w:rPr>
        <w:t xml:space="preserve"> </w:t>
      </w:r>
      <w:r>
        <w:t>13347</w:t>
      </w:r>
      <w:r>
        <w:rPr>
          <w:rFonts w:hint="eastAsia"/>
        </w:rPr>
        <w:t xml:space="preserve">  </w:t>
      </w:r>
      <w:r>
        <w:t>石油气体管道阻火器</w:t>
      </w:r>
    </w:p>
    <w:p>
      <w:pPr>
        <w:pStyle w:val="26"/>
        <w:ind w:firstLine="420"/>
      </w:pPr>
      <w:r>
        <w:t>GB 14554  恶臭污染物排放标准</w:t>
      </w:r>
    </w:p>
    <w:p>
      <w:pPr>
        <w:pStyle w:val="26"/>
        <w:ind w:firstLine="420"/>
      </w:pPr>
      <w:r>
        <w:t>GB/T 14976</w:t>
      </w:r>
      <w:r>
        <w:rPr>
          <w:rFonts w:hint="eastAsia"/>
        </w:rPr>
        <w:t xml:space="preserve">  流体输送用不锈钢无缝管</w:t>
      </w:r>
    </w:p>
    <w:p>
      <w:pPr>
        <w:pStyle w:val="26"/>
        <w:ind w:firstLine="420"/>
      </w:pPr>
      <w:r>
        <w:t>GB/T 16157</w:t>
      </w:r>
      <w:r>
        <w:rPr>
          <w:rFonts w:hint="eastAsia"/>
        </w:rPr>
        <w:t xml:space="preserve">  固定污染源排气中颗粒物测定与气态污染物采样方法</w:t>
      </w:r>
    </w:p>
    <w:p>
      <w:pPr>
        <w:pStyle w:val="26"/>
        <w:ind w:firstLine="420"/>
      </w:pPr>
      <w:r>
        <w:t>GB</w:t>
      </w:r>
      <w:r>
        <w:rPr>
          <w:rFonts w:hint="eastAsia"/>
        </w:rPr>
        <w:t xml:space="preserve"> </w:t>
      </w:r>
      <w:r>
        <w:t>16171</w:t>
      </w:r>
      <w:r>
        <w:rPr>
          <w:rFonts w:hint="eastAsia"/>
        </w:rPr>
        <w:t xml:space="preserve">  </w:t>
      </w:r>
      <w:r>
        <w:t>炼焦化学工业污染物排放标准</w:t>
      </w:r>
    </w:p>
    <w:p>
      <w:pPr>
        <w:pStyle w:val="26"/>
        <w:ind w:firstLine="420"/>
      </w:pPr>
      <w:r>
        <w:t>GB/T</w:t>
      </w:r>
      <w:r>
        <w:rPr>
          <w:rFonts w:hint="eastAsia"/>
        </w:rPr>
        <w:t xml:space="preserve"> </w:t>
      </w:r>
      <w:r>
        <w:t>16758</w:t>
      </w:r>
      <w:r>
        <w:rPr>
          <w:rFonts w:hint="eastAsia"/>
        </w:rPr>
        <w:t xml:space="preserve">  </w:t>
      </w:r>
      <w:r>
        <w:t>排风罩的分类及技术条件</w:t>
      </w:r>
    </w:p>
    <w:p>
      <w:pPr>
        <w:pStyle w:val="26"/>
        <w:ind w:firstLine="420"/>
      </w:pPr>
      <w:r>
        <w:t>GB 37822  挥发性有机物无组织排放控制标准</w:t>
      </w:r>
    </w:p>
    <w:p>
      <w:pPr>
        <w:pStyle w:val="26"/>
        <w:ind w:firstLine="420"/>
      </w:pPr>
      <w:r>
        <w:t xml:space="preserve">GB 39800.3  个人防护装备选用规范 </w:t>
      </w:r>
    </w:p>
    <w:p>
      <w:pPr>
        <w:pStyle w:val="26"/>
        <w:ind w:firstLine="420"/>
      </w:pPr>
      <w:r>
        <w:t>GB 50034  建筑照明设计标准</w:t>
      </w:r>
    </w:p>
    <w:p>
      <w:pPr>
        <w:pStyle w:val="26"/>
        <w:ind w:firstLine="420"/>
      </w:pPr>
      <w:r>
        <w:t>GB 50057  建筑物防雷设计规范</w:t>
      </w:r>
    </w:p>
    <w:p>
      <w:pPr>
        <w:pStyle w:val="26"/>
        <w:ind w:firstLine="420"/>
      </w:pPr>
      <w:r>
        <w:t>GB 50058  爆炸危险环境电力装置设计规范</w:t>
      </w:r>
    </w:p>
    <w:p>
      <w:pPr>
        <w:pStyle w:val="26"/>
        <w:ind w:firstLine="420"/>
      </w:pPr>
      <w:r>
        <w:t>GB/T 50087</w:t>
      </w:r>
      <w:r>
        <w:rPr>
          <w:rFonts w:hint="eastAsia"/>
        </w:rPr>
        <w:t xml:space="preserve">  工业企业噪声控制设计规范</w:t>
      </w:r>
    </w:p>
    <w:p>
      <w:pPr>
        <w:pStyle w:val="26"/>
        <w:ind w:firstLine="420"/>
      </w:pPr>
      <w:r>
        <w:t>GB</w:t>
      </w:r>
      <w:r>
        <w:rPr>
          <w:rFonts w:hint="eastAsia"/>
        </w:rPr>
        <w:t xml:space="preserve"> </w:t>
      </w:r>
      <w:r>
        <w:t>50160</w:t>
      </w:r>
      <w:r>
        <w:rPr>
          <w:rFonts w:hint="eastAsia"/>
        </w:rPr>
        <w:t xml:space="preserve">  </w:t>
      </w:r>
      <w:r>
        <w:t>石油化工企业设计防火标准</w:t>
      </w:r>
    </w:p>
    <w:p>
      <w:pPr>
        <w:pStyle w:val="26"/>
        <w:ind w:firstLine="420"/>
      </w:pPr>
      <w:r>
        <w:t>GB/T 50483  化工建设项目环境保护设计标准</w:t>
      </w:r>
    </w:p>
    <w:p>
      <w:pPr>
        <w:pStyle w:val="26"/>
        <w:ind w:firstLine="420"/>
      </w:pPr>
      <w:r>
        <w:t>GB/T</w:t>
      </w:r>
      <w:r>
        <w:rPr>
          <w:rFonts w:hint="eastAsia"/>
        </w:rPr>
        <w:t xml:space="preserve"> </w:t>
      </w:r>
      <w:r>
        <w:t>50493</w:t>
      </w:r>
      <w:r>
        <w:rPr>
          <w:rFonts w:hint="eastAsia"/>
        </w:rPr>
        <w:t xml:space="preserve">  </w:t>
      </w:r>
      <w:r>
        <w:t>石油化工可燃气体和有毒气体检测报警设计规范</w:t>
      </w:r>
    </w:p>
    <w:p>
      <w:pPr>
        <w:pStyle w:val="26"/>
        <w:ind w:firstLine="420"/>
      </w:pPr>
      <w:r>
        <w:t>GB/T</w:t>
      </w:r>
      <w:r>
        <w:rPr>
          <w:rFonts w:hint="eastAsia"/>
        </w:rPr>
        <w:t xml:space="preserve"> </w:t>
      </w:r>
      <w:r>
        <w:t>50770</w:t>
      </w:r>
      <w:r>
        <w:rPr>
          <w:rFonts w:hint="eastAsia"/>
        </w:rPr>
        <w:t xml:space="preserve">  </w:t>
      </w:r>
      <w:r>
        <w:t>石油化工安全仪表系统设计规范</w:t>
      </w:r>
    </w:p>
    <w:p>
      <w:pPr>
        <w:pStyle w:val="26"/>
        <w:ind w:firstLine="420"/>
      </w:pPr>
      <w:r>
        <w:t>GB/T</w:t>
      </w:r>
      <w:r>
        <w:rPr>
          <w:rFonts w:hint="eastAsia"/>
        </w:rPr>
        <w:t xml:space="preserve"> </w:t>
      </w:r>
      <w:r>
        <w:t>50759</w:t>
      </w:r>
      <w:r>
        <w:rPr>
          <w:rFonts w:hint="eastAsia"/>
        </w:rPr>
        <w:t xml:space="preserve">  </w:t>
      </w:r>
      <w:r>
        <w:t>油气回收处理设施技术标准</w:t>
      </w:r>
    </w:p>
    <w:p>
      <w:pPr>
        <w:pStyle w:val="26"/>
        <w:ind w:firstLine="420"/>
      </w:pPr>
      <w:r>
        <w:t>GBZ</w:t>
      </w:r>
      <w:r>
        <w:rPr>
          <w:rFonts w:hint="eastAsia"/>
        </w:rPr>
        <w:t xml:space="preserve"> </w:t>
      </w:r>
      <w:r>
        <w:t>1</w:t>
      </w:r>
      <w:r>
        <w:rPr>
          <w:rFonts w:hint="eastAsia"/>
        </w:rPr>
        <w:t xml:space="preserve">  </w:t>
      </w:r>
      <w:r>
        <w:t>工业企业设计卫生标准</w:t>
      </w:r>
    </w:p>
    <w:p>
      <w:pPr>
        <w:pStyle w:val="26"/>
        <w:ind w:firstLine="420"/>
      </w:pPr>
      <w:r>
        <w:t>AQ</w:t>
      </w:r>
      <w:r>
        <w:rPr>
          <w:rFonts w:hint="eastAsia"/>
        </w:rPr>
        <w:t xml:space="preserve"> </w:t>
      </w:r>
      <w:r>
        <w:t>1072</w:t>
      </w:r>
      <w:r>
        <w:rPr>
          <w:rFonts w:hint="eastAsia"/>
        </w:rPr>
        <w:t xml:space="preserve">  </w:t>
      </w:r>
      <w:r>
        <w:t>瓦斯管道输送水封阻火泄爆装置技术条件</w:t>
      </w:r>
    </w:p>
    <w:p>
      <w:pPr>
        <w:pStyle w:val="26"/>
        <w:ind w:firstLine="420"/>
      </w:pPr>
      <w:r>
        <w:t>AQ</w:t>
      </w:r>
      <w:r>
        <w:rPr>
          <w:rFonts w:hint="eastAsia"/>
        </w:rPr>
        <w:t xml:space="preserve"> </w:t>
      </w:r>
      <w:r>
        <w:t>7012</w:t>
      </w:r>
      <w:r>
        <w:rPr>
          <w:rFonts w:hint="eastAsia"/>
        </w:rPr>
        <w:t xml:space="preserve">  </w:t>
      </w:r>
      <w:r>
        <w:t>煤气排水器安全技术规程</w:t>
      </w:r>
    </w:p>
    <w:p>
      <w:pPr>
        <w:pStyle w:val="26"/>
        <w:ind w:firstLine="420"/>
      </w:pPr>
      <w:r>
        <w:t>HJ 1093  蓄热燃烧法工业有机废气治理工程技术规范</w:t>
      </w:r>
    </w:p>
    <w:p>
      <w:pPr>
        <w:pStyle w:val="26"/>
        <w:ind w:firstLine="420"/>
      </w:pPr>
      <w:r>
        <w:t>HJ 1094  石油炼制工业废气治理工程技术规范</w:t>
      </w:r>
    </w:p>
    <w:p>
      <w:pPr>
        <w:pStyle w:val="26"/>
        <w:ind w:firstLine="420"/>
      </w:pPr>
      <w:r>
        <w:rPr>
          <w:rFonts w:hint="eastAsia"/>
        </w:rPr>
        <w:t>HJ 1280  炼焦化学工业废气治理工程技术规范</w:t>
      </w:r>
    </w:p>
    <w:p>
      <w:pPr>
        <w:pStyle w:val="26"/>
        <w:ind w:firstLine="420"/>
      </w:pPr>
      <w:r>
        <w:t>SH/T</w:t>
      </w:r>
      <w:r>
        <w:rPr>
          <w:rFonts w:hint="eastAsia"/>
        </w:rPr>
        <w:t xml:space="preserve"> </w:t>
      </w:r>
      <w:r>
        <w:t>3413</w:t>
      </w:r>
      <w:r>
        <w:rPr>
          <w:rFonts w:hint="eastAsia"/>
        </w:rPr>
        <w:t xml:space="preserve">  </w:t>
      </w:r>
      <w:r>
        <w:t>石油化工石油气管道阻火器选用、检验及验收标准</w:t>
      </w:r>
    </w:p>
    <w:p>
      <w:pPr>
        <w:pStyle w:val="26"/>
        <w:ind w:firstLine="420"/>
      </w:pPr>
      <w:r>
        <w:t>SH/T</w:t>
      </w:r>
      <w:r>
        <w:rPr>
          <w:rFonts w:hint="eastAsia"/>
        </w:rPr>
        <w:t xml:space="preserve"> </w:t>
      </w:r>
      <w:r>
        <w:t>3097</w:t>
      </w:r>
      <w:r>
        <w:rPr>
          <w:rFonts w:hint="eastAsia"/>
        </w:rPr>
        <w:t xml:space="preserve">  </w:t>
      </w:r>
      <w:r>
        <w:t>石油化工静电接地设计规范</w:t>
      </w:r>
    </w:p>
    <w:p>
      <w:pPr>
        <w:pStyle w:val="26"/>
        <w:ind w:firstLine="420"/>
      </w:pPr>
      <w:r>
        <w:t>SH/T 3005  石油化工自动化仪表选型设计规范</w:t>
      </w:r>
    </w:p>
    <w:p>
      <w:pPr>
        <w:pStyle w:val="26"/>
        <w:ind w:firstLine="420"/>
      </w:pPr>
      <w:r>
        <w:t>SH/T</w:t>
      </w:r>
      <w:r>
        <w:rPr>
          <w:rFonts w:hint="eastAsia"/>
        </w:rPr>
        <w:t xml:space="preserve"> </w:t>
      </w:r>
      <w:r>
        <w:t>3007</w:t>
      </w:r>
      <w:r>
        <w:rPr>
          <w:rFonts w:hint="eastAsia"/>
        </w:rPr>
        <w:t xml:space="preserve">  </w:t>
      </w:r>
      <w:r>
        <w:t>石油化工储运系统罐区设计规范</w:t>
      </w:r>
    </w:p>
    <w:p>
      <w:pPr>
        <w:pStyle w:val="26"/>
        <w:ind w:firstLine="420"/>
      </w:pPr>
      <w:r>
        <w:t>SY/T 0511.2</w:t>
      </w:r>
      <w:r>
        <w:rPr>
          <w:rFonts w:hint="eastAsia"/>
        </w:rPr>
        <w:t xml:space="preserve">  石油储罐附件 第2部分：液压安全阀</w:t>
      </w:r>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3.2.3成功案例的经验总结</w:t>
      </w:r>
    </w:p>
    <w:p>
      <w:pPr>
        <w:pStyle w:val="24"/>
        <w:spacing w:line="360" w:lineRule="auto"/>
        <w:ind w:firstLine="480" w:firstLineChars="200"/>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本标准的制定主要依托有关单位长期研究、调研焦炉煤气净化废气治理的状况、全过程测试废气组成、特性、物性参数，在此基础上形成系统设计的基本技术要求；并与石油化工相关规范、文件和实践经验相结合，将提炼的技术要求首先在某钢铁厂的煤气净化废气治理系统进行实施，连续跟踪近一年时间，系统运行和各项指标都符合设计，到目前为止该项目已经成功平稳运行三年以上。然后陆续在多个钢铁焦炉煤气净化废气治理系统成功复制。</w:t>
      </w:r>
    </w:p>
    <w:p>
      <w:pPr>
        <w:pStyle w:val="24"/>
        <w:spacing w:line="360" w:lineRule="auto"/>
        <w:ind w:firstLine="480" w:firstLineChars="200"/>
        <w:jc w:val="left"/>
        <w:rPr>
          <w:rFonts w:ascii="Times New Roman" w:hAnsi="Times New Roman"/>
          <w:b/>
          <w:bCs/>
          <w:sz w:val="32"/>
          <w:szCs w:val="32"/>
        </w:rPr>
      </w:pPr>
      <w:r>
        <w:rPr>
          <w:rFonts w:hint="eastAsia" w:ascii="Times New Roman" w:hAnsi="Times New Roman"/>
          <w:color w:val="000000" w:themeColor="text1"/>
          <w:sz w:val="24"/>
          <w:szCs w:val="28"/>
          <w14:textFill>
            <w14:solidFill>
              <w14:schemeClr w14:val="tx1"/>
            </w14:solidFill>
          </w14:textFill>
        </w:rPr>
        <w:t xml:space="preserve">在多个成功应用业绩的基础上，进一步细化每一个单元系统组成、设备选型、材料选择、平面布置等设计要点，并形成此标准。 </w:t>
      </w:r>
      <w:r>
        <w:rPr>
          <w:rFonts w:hint="eastAsia"/>
        </w:rPr>
        <w:t xml:space="preserve">  </w:t>
      </w:r>
    </w:p>
    <w:p>
      <w:pPr>
        <w:pStyle w:val="2"/>
        <w:spacing w:before="190" w:after="190"/>
      </w:pPr>
      <w:bookmarkStart w:id="61" w:name="_Toc21468"/>
      <w:bookmarkStart w:id="62" w:name="_Toc2624"/>
      <w:r>
        <w:rPr>
          <w:rFonts w:hint="eastAsia"/>
        </w:rPr>
        <w:t>四、主要条款的说明</w:t>
      </w:r>
      <w:bookmarkEnd w:id="61"/>
      <w:bookmarkEnd w:id="62"/>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通过借鉴石油化工相关成功的工艺路线及控制技术，根据煤气净化废气特点和从各种煤气净化废气治理失败的案例找出问题本质，理顺了系统治理的技术要求，结合相关标准、文献资料以及所实施的成功案例确定了本文件的内容。</w:t>
      </w:r>
    </w:p>
    <w:bookmarkEnd w:id="46"/>
    <w:bookmarkEnd w:id="47"/>
    <w:bookmarkEnd w:id="48"/>
    <w:p>
      <w:pPr>
        <w:pStyle w:val="3"/>
        <w:spacing w:before="190" w:after="190"/>
      </w:pPr>
      <w:bookmarkStart w:id="63" w:name="_Toc25622"/>
      <w:bookmarkStart w:id="64" w:name="_Toc24435"/>
      <w:bookmarkStart w:id="65" w:name="_Toc24228"/>
      <w:bookmarkStart w:id="66" w:name="_Toc26378"/>
      <w:bookmarkStart w:id="67" w:name="_Toc49521981"/>
      <w:bookmarkStart w:id="68" w:name="_Toc11137"/>
      <w:r>
        <w:rPr>
          <w:rFonts w:hint="eastAsia"/>
        </w:rPr>
        <w:t>4.1标准文本的主要章节</w:t>
      </w:r>
      <w:bookmarkEnd w:id="63"/>
      <w:bookmarkEnd w:id="64"/>
    </w:p>
    <w:bookmarkEnd w:id="65"/>
    <w:bookmarkEnd w:id="66"/>
    <w:bookmarkEnd w:id="67"/>
    <w:bookmarkEnd w:id="68"/>
    <w:p>
      <w:pPr>
        <w:pStyle w:val="14"/>
        <w:tabs>
          <w:tab w:val="right" w:leader="dot" w:pos="8306"/>
        </w:tabs>
        <w:spacing w:line="360" w:lineRule="auto"/>
        <w:ind w:firstLine="480" w:firstLineChars="200"/>
        <w:rPr>
          <w:rFonts w:ascii="Times New Roman" w:hAnsi="Times New Roman"/>
          <w:sz w:val="24"/>
          <w:szCs w:val="28"/>
        </w:rPr>
      </w:pPr>
      <w:bookmarkStart w:id="69" w:name="_Toc14161"/>
      <w:bookmarkStart w:id="70" w:name="_Toc26963"/>
      <w:bookmarkStart w:id="71" w:name="_Toc91145301"/>
      <w:r>
        <w:rPr>
          <w:rFonts w:hint="eastAsia" w:ascii="Times New Roman" w:hAnsi="Times New Roman"/>
          <w:sz w:val="24"/>
          <w:szCs w:val="28"/>
        </w:rPr>
        <w:t>本文规定了煤气净化废气达标排放治理技术，包括以下章节：</w:t>
      </w:r>
    </w:p>
    <w:p>
      <w:pPr>
        <w:pStyle w:val="14"/>
        <w:tabs>
          <w:tab w:val="right" w:leader="dot" w:pos="8306"/>
        </w:tabs>
        <w:spacing w:line="360" w:lineRule="auto"/>
        <w:ind w:firstLine="560" w:firstLineChars="200"/>
        <w:rPr>
          <w:rFonts w:ascii="Times New Roman" w:hAnsi="Times New Roman"/>
          <w:sz w:val="24"/>
          <w:szCs w:val="28"/>
        </w:rPr>
      </w:pPr>
      <w:r>
        <w:fldChar w:fldCharType="begin"/>
      </w:r>
      <w:r>
        <w:instrText xml:space="preserve"> HYPERLINK \l "_Toc10292" </w:instrText>
      </w:r>
      <w:r>
        <w:fldChar w:fldCharType="separate"/>
      </w:r>
      <w:r>
        <w:fldChar w:fldCharType="end"/>
      </w:r>
      <w:r>
        <w:rPr>
          <w:rFonts w:hint="eastAsia" w:ascii="Times New Roman" w:hAnsi="Times New Roman"/>
          <w:sz w:val="24"/>
          <w:szCs w:val="28"/>
        </w:rPr>
        <w:t>前言</w:t>
      </w:r>
    </w:p>
    <w:p>
      <w:pPr>
        <w:pStyle w:val="14"/>
        <w:tabs>
          <w:tab w:val="right" w:leader="dot" w:pos="8306"/>
        </w:tabs>
        <w:spacing w:line="360" w:lineRule="auto"/>
        <w:ind w:firstLine="480" w:firstLineChars="200"/>
        <w:rPr>
          <w:rFonts w:ascii="Times New Roman" w:hAnsi="Times New Roman"/>
          <w:sz w:val="24"/>
          <w:szCs w:val="28"/>
        </w:rPr>
      </w:pPr>
      <w:r>
        <w:rPr>
          <w:rFonts w:hint="eastAsia" w:ascii="Times New Roman" w:hAnsi="Times New Roman"/>
          <w:sz w:val="24"/>
          <w:szCs w:val="28"/>
        </w:rPr>
        <w:t>1 范围</w:t>
      </w:r>
    </w:p>
    <w:p>
      <w:pPr>
        <w:pStyle w:val="14"/>
        <w:tabs>
          <w:tab w:val="right" w:leader="dot" w:pos="8306"/>
        </w:tabs>
        <w:spacing w:line="360" w:lineRule="auto"/>
        <w:ind w:firstLine="560" w:firstLineChars="200"/>
        <w:rPr>
          <w:rFonts w:ascii="Times New Roman" w:hAnsi="Times New Roman"/>
          <w:sz w:val="24"/>
          <w:szCs w:val="28"/>
        </w:rPr>
      </w:pPr>
      <w:r>
        <w:fldChar w:fldCharType="begin"/>
      </w:r>
      <w:r>
        <w:instrText xml:space="preserve"> HYPERLINK \l "_Toc2442" </w:instrText>
      </w:r>
      <w:r>
        <w:fldChar w:fldCharType="separate"/>
      </w:r>
      <w:r>
        <w:rPr>
          <w:rFonts w:hint="eastAsia" w:ascii="Times New Roman" w:hAnsi="Times New Roman"/>
          <w:sz w:val="24"/>
          <w:szCs w:val="28"/>
        </w:rPr>
        <w:t>2 规范性引用文件</w:t>
      </w:r>
      <w:r>
        <w:rPr>
          <w:rFonts w:hint="eastAsia" w:ascii="Times New Roman" w:hAnsi="Times New Roman"/>
          <w:sz w:val="24"/>
          <w:szCs w:val="28"/>
        </w:rPr>
        <w:fldChar w:fldCharType="end"/>
      </w:r>
    </w:p>
    <w:p>
      <w:pPr>
        <w:pStyle w:val="14"/>
        <w:tabs>
          <w:tab w:val="right" w:leader="dot" w:pos="8306"/>
        </w:tabs>
        <w:spacing w:line="360" w:lineRule="auto"/>
        <w:ind w:firstLine="560" w:firstLineChars="200"/>
        <w:rPr>
          <w:rFonts w:ascii="Times New Roman" w:hAnsi="Times New Roman"/>
          <w:sz w:val="24"/>
          <w:szCs w:val="28"/>
        </w:rPr>
      </w:pPr>
      <w:r>
        <w:fldChar w:fldCharType="begin"/>
      </w:r>
      <w:r>
        <w:instrText xml:space="preserve"> HYPERLINK \l "_Toc14362" </w:instrText>
      </w:r>
      <w:r>
        <w:fldChar w:fldCharType="separate"/>
      </w:r>
      <w:r>
        <w:rPr>
          <w:rFonts w:hint="eastAsia" w:ascii="Times New Roman" w:hAnsi="Times New Roman"/>
          <w:sz w:val="24"/>
          <w:szCs w:val="28"/>
        </w:rPr>
        <w:t>3 术语和定义</w:t>
      </w:r>
      <w:r>
        <w:rPr>
          <w:rFonts w:hint="eastAsia" w:ascii="Times New Roman" w:hAnsi="Times New Roman"/>
          <w:sz w:val="24"/>
          <w:szCs w:val="28"/>
        </w:rPr>
        <w:fldChar w:fldCharType="end"/>
      </w:r>
    </w:p>
    <w:p>
      <w:pPr>
        <w:pStyle w:val="14"/>
        <w:tabs>
          <w:tab w:val="right" w:leader="dot" w:pos="8306"/>
        </w:tabs>
        <w:spacing w:line="360" w:lineRule="auto"/>
        <w:ind w:firstLine="560" w:firstLineChars="200"/>
        <w:rPr>
          <w:rFonts w:ascii="Times New Roman" w:hAnsi="Times New Roman"/>
          <w:sz w:val="24"/>
          <w:szCs w:val="28"/>
        </w:rPr>
      </w:pPr>
      <w:r>
        <w:fldChar w:fldCharType="begin"/>
      </w:r>
      <w:r>
        <w:instrText xml:space="preserve"> HYPERLINK \l "_Toc11874" </w:instrText>
      </w:r>
      <w:r>
        <w:fldChar w:fldCharType="separate"/>
      </w:r>
      <w:r>
        <w:rPr>
          <w:rFonts w:hint="eastAsia" w:ascii="Times New Roman" w:hAnsi="Times New Roman"/>
          <w:sz w:val="24"/>
          <w:szCs w:val="28"/>
        </w:rPr>
        <w:t>4 基本规定</w:t>
      </w:r>
      <w:r>
        <w:rPr>
          <w:rFonts w:hint="eastAsia" w:ascii="Times New Roman" w:hAnsi="Times New Roman"/>
          <w:sz w:val="24"/>
          <w:szCs w:val="28"/>
        </w:rPr>
        <w:fldChar w:fldCharType="end"/>
      </w:r>
    </w:p>
    <w:p>
      <w:pPr>
        <w:pStyle w:val="14"/>
        <w:tabs>
          <w:tab w:val="right" w:leader="dot" w:pos="8306"/>
        </w:tabs>
        <w:spacing w:line="360" w:lineRule="auto"/>
        <w:ind w:firstLine="560" w:firstLineChars="200"/>
        <w:rPr>
          <w:rFonts w:ascii="Times New Roman" w:hAnsi="Times New Roman"/>
          <w:sz w:val="24"/>
          <w:szCs w:val="28"/>
        </w:rPr>
      </w:pPr>
      <w:r>
        <w:fldChar w:fldCharType="begin"/>
      </w:r>
      <w:r>
        <w:instrText xml:space="preserve"> HYPERLINK \l "_Toc6288" </w:instrText>
      </w:r>
      <w:r>
        <w:fldChar w:fldCharType="separate"/>
      </w:r>
      <w:r>
        <w:rPr>
          <w:rFonts w:hint="eastAsia" w:ascii="Times New Roman" w:hAnsi="Times New Roman"/>
          <w:sz w:val="24"/>
          <w:szCs w:val="28"/>
        </w:rPr>
        <w:t>5 平面布置</w:t>
      </w:r>
      <w:r>
        <w:rPr>
          <w:rFonts w:hint="eastAsia" w:ascii="Times New Roman" w:hAnsi="Times New Roman"/>
          <w:sz w:val="24"/>
          <w:szCs w:val="28"/>
        </w:rPr>
        <w:fldChar w:fldCharType="end"/>
      </w:r>
    </w:p>
    <w:p>
      <w:pPr>
        <w:pStyle w:val="14"/>
        <w:tabs>
          <w:tab w:val="right" w:leader="dot" w:pos="8306"/>
        </w:tabs>
        <w:spacing w:line="360" w:lineRule="auto"/>
        <w:ind w:firstLine="560" w:firstLineChars="200"/>
        <w:rPr>
          <w:rFonts w:ascii="Times New Roman" w:hAnsi="Times New Roman"/>
          <w:sz w:val="24"/>
          <w:szCs w:val="28"/>
        </w:rPr>
      </w:pPr>
      <w:r>
        <w:fldChar w:fldCharType="begin"/>
      </w:r>
      <w:r>
        <w:instrText xml:space="preserve"> HYPERLINK \l "_Toc14878" </w:instrText>
      </w:r>
      <w:r>
        <w:fldChar w:fldCharType="separate"/>
      </w:r>
      <w:r>
        <w:rPr>
          <w:rFonts w:hint="eastAsia" w:ascii="Times New Roman" w:hAnsi="Times New Roman"/>
          <w:sz w:val="24"/>
          <w:szCs w:val="28"/>
        </w:rPr>
        <w:t>6 工艺及管道设计</w:t>
      </w:r>
      <w:r>
        <w:rPr>
          <w:rFonts w:hint="eastAsia" w:ascii="Times New Roman" w:hAnsi="Times New Roman"/>
          <w:sz w:val="24"/>
          <w:szCs w:val="28"/>
        </w:rPr>
        <w:fldChar w:fldCharType="end"/>
      </w:r>
    </w:p>
    <w:p>
      <w:pPr>
        <w:pStyle w:val="15"/>
        <w:tabs>
          <w:tab w:val="right" w:leader="dot" w:pos="8306"/>
        </w:tabs>
        <w:spacing w:line="360" w:lineRule="auto"/>
        <w:ind w:left="0" w:leftChars="0" w:firstLine="560" w:firstLineChars="200"/>
        <w:rPr>
          <w:rFonts w:ascii="Times New Roman" w:hAnsi="Times New Roman"/>
          <w:sz w:val="24"/>
          <w:szCs w:val="28"/>
        </w:rPr>
      </w:pPr>
      <w:r>
        <w:fldChar w:fldCharType="begin"/>
      </w:r>
      <w:r>
        <w:instrText xml:space="preserve"> HYPERLINK \l "_Toc8093" </w:instrText>
      </w:r>
      <w:r>
        <w:fldChar w:fldCharType="separate"/>
      </w:r>
      <w:r>
        <w:rPr>
          <w:rFonts w:hint="eastAsia" w:ascii="Times New Roman" w:hAnsi="Times New Roman"/>
          <w:sz w:val="24"/>
          <w:szCs w:val="28"/>
        </w:rPr>
        <w:t>6.1 一般规定</w:t>
      </w:r>
      <w:r>
        <w:rPr>
          <w:rFonts w:hint="eastAsia" w:ascii="Times New Roman" w:hAnsi="Times New Roman"/>
          <w:sz w:val="24"/>
          <w:szCs w:val="28"/>
        </w:rPr>
        <w:fldChar w:fldCharType="end"/>
      </w:r>
    </w:p>
    <w:p>
      <w:pPr>
        <w:pStyle w:val="15"/>
        <w:tabs>
          <w:tab w:val="right" w:leader="dot" w:pos="8306"/>
        </w:tabs>
        <w:spacing w:line="360" w:lineRule="auto"/>
        <w:ind w:left="0" w:leftChars="0" w:firstLine="560" w:firstLineChars="200"/>
        <w:rPr>
          <w:rFonts w:ascii="Times New Roman" w:hAnsi="Times New Roman"/>
          <w:sz w:val="24"/>
          <w:szCs w:val="28"/>
        </w:rPr>
      </w:pPr>
      <w:r>
        <w:fldChar w:fldCharType="begin"/>
      </w:r>
      <w:r>
        <w:instrText xml:space="preserve"> HYPERLINK \l "_Toc4438" </w:instrText>
      </w:r>
      <w:r>
        <w:fldChar w:fldCharType="separate"/>
      </w:r>
      <w:r>
        <w:rPr>
          <w:rFonts w:hint="eastAsia" w:ascii="Times New Roman" w:hAnsi="Times New Roman"/>
          <w:sz w:val="24"/>
          <w:szCs w:val="28"/>
        </w:rPr>
        <w:t>6.2 废气收集系统</w:t>
      </w:r>
      <w:r>
        <w:rPr>
          <w:rFonts w:hint="eastAsia" w:ascii="Times New Roman" w:hAnsi="Times New Roman"/>
          <w:sz w:val="24"/>
          <w:szCs w:val="28"/>
        </w:rPr>
        <w:fldChar w:fldCharType="end"/>
      </w:r>
    </w:p>
    <w:p>
      <w:pPr>
        <w:pStyle w:val="15"/>
        <w:tabs>
          <w:tab w:val="right" w:leader="dot" w:pos="8306"/>
        </w:tabs>
        <w:spacing w:line="360" w:lineRule="auto"/>
        <w:ind w:left="0" w:leftChars="0" w:firstLine="560" w:firstLineChars="200"/>
        <w:rPr>
          <w:rFonts w:ascii="Times New Roman" w:hAnsi="Times New Roman"/>
          <w:sz w:val="24"/>
          <w:szCs w:val="28"/>
        </w:rPr>
      </w:pPr>
      <w:r>
        <w:fldChar w:fldCharType="begin"/>
      </w:r>
      <w:r>
        <w:instrText xml:space="preserve"> HYPERLINK \l "_Toc4983" </w:instrText>
      </w:r>
      <w:r>
        <w:fldChar w:fldCharType="separate"/>
      </w:r>
      <w:r>
        <w:rPr>
          <w:rFonts w:hint="eastAsia" w:ascii="Times New Roman" w:hAnsi="Times New Roman"/>
          <w:sz w:val="24"/>
          <w:szCs w:val="28"/>
        </w:rPr>
        <w:t>6.3 废气输送系统</w:t>
      </w:r>
      <w:r>
        <w:rPr>
          <w:rFonts w:hint="eastAsia" w:ascii="Times New Roman" w:hAnsi="Times New Roman"/>
          <w:sz w:val="24"/>
          <w:szCs w:val="28"/>
        </w:rPr>
        <w:fldChar w:fldCharType="end"/>
      </w:r>
    </w:p>
    <w:p>
      <w:pPr>
        <w:pStyle w:val="15"/>
        <w:tabs>
          <w:tab w:val="right" w:leader="dot" w:pos="8306"/>
        </w:tabs>
        <w:spacing w:line="360" w:lineRule="auto"/>
        <w:ind w:left="0" w:leftChars="0" w:firstLine="560" w:firstLineChars="200"/>
        <w:rPr>
          <w:rFonts w:ascii="Times New Roman" w:hAnsi="Times New Roman"/>
          <w:sz w:val="24"/>
          <w:szCs w:val="28"/>
        </w:rPr>
      </w:pPr>
      <w:r>
        <w:fldChar w:fldCharType="begin"/>
      </w:r>
      <w:r>
        <w:instrText xml:space="preserve"> HYPERLINK \l "_Toc3425" </w:instrText>
      </w:r>
      <w:r>
        <w:fldChar w:fldCharType="separate"/>
      </w:r>
      <w:r>
        <w:rPr>
          <w:rFonts w:hint="eastAsia" w:ascii="Times New Roman" w:hAnsi="Times New Roman"/>
          <w:sz w:val="24"/>
          <w:szCs w:val="28"/>
        </w:rPr>
        <w:t>6.4废气预处理装置</w:t>
      </w:r>
      <w:r>
        <w:rPr>
          <w:rFonts w:hint="eastAsia" w:ascii="Times New Roman" w:hAnsi="Times New Roman"/>
          <w:sz w:val="24"/>
          <w:szCs w:val="28"/>
        </w:rPr>
        <w:fldChar w:fldCharType="end"/>
      </w:r>
    </w:p>
    <w:p>
      <w:pPr>
        <w:pStyle w:val="15"/>
        <w:tabs>
          <w:tab w:val="right" w:leader="dot" w:pos="8306"/>
        </w:tabs>
        <w:spacing w:line="360" w:lineRule="auto"/>
        <w:ind w:left="0" w:leftChars="0" w:firstLine="560" w:firstLineChars="200"/>
        <w:rPr>
          <w:rFonts w:ascii="Times New Roman" w:hAnsi="Times New Roman"/>
          <w:sz w:val="24"/>
          <w:szCs w:val="28"/>
        </w:rPr>
      </w:pPr>
      <w:r>
        <w:fldChar w:fldCharType="begin"/>
      </w:r>
      <w:r>
        <w:instrText xml:space="preserve"> HYPERLINK \l "_Toc19503" </w:instrText>
      </w:r>
      <w:r>
        <w:fldChar w:fldCharType="separate"/>
      </w:r>
      <w:r>
        <w:rPr>
          <w:rFonts w:hint="eastAsia" w:ascii="Times New Roman" w:hAnsi="Times New Roman"/>
          <w:sz w:val="24"/>
          <w:szCs w:val="28"/>
        </w:rPr>
        <w:t>6.5末端处理装置</w:t>
      </w:r>
      <w:r>
        <w:rPr>
          <w:rFonts w:hint="eastAsia" w:ascii="Times New Roman" w:hAnsi="Times New Roman"/>
          <w:sz w:val="24"/>
          <w:szCs w:val="28"/>
        </w:rPr>
        <w:fldChar w:fldCharType="end"/>
      </w:r>
    </w:p>
    <w:p>
      <w:pPr>
        <w:pStyle w:val="14"/>
        <w:tabs>
          <w:tab w:val="right" w:leader="dot" w:pos="8306"/>
        </w:tabs>
        <w:spacing w:line="360" w:lineRule="auto"/>
        <w:ind w:firstLine="560" w:firstLineChars="200"/>
        <w:rPr>
          <w:rFonts w:ascii="Times New Roman" w:hAnsi="Times New Roman"/>
          <w:sz w:val="24"/>
          <w:szCs w:val="28"/>
        </w:rPr>
      </w:pPr>
      <w:r>
        <w:fldChar w:fldCharType="begin"/>
      </w:r>
      <w:r>
        <w:instrText xml:space="preserve"> HYPERLINK \l "_Toc16854" </w:instrText>
      </w:r>
      <w:r>
        <w:fldChar w:fldCharType="separate"/>
      </w:r>
      <w:r>
        <w:rPr>
          <w:rFonts w:hint="eastAsia" w:ascii="Times New Roman" w:hAnsi="Times New Roman"/>
          <w:sz w:val="24"/>
          <w:szCs w:val="28"/>
        </w:rPr>
        <w:t>7自动控制</w:t>
      </w:r>
      <w:r>
        <w:rPr>
          <w:rFonts w:hint="eastAsia" w:ascii="Times New Roman" w:hAnsi="Times New Roman"/>
          <w:sz w:val="24"/>
          <w:szCs w:val="28"/>
        </w:rPr>
        <w:fldChar w:fldCharType="end"/>
      </w:r>
    </w:p>
    <w:p>
      <w:pPr>
        <w:pStyle w:val="14"/>
        <w:tabs>
          <w:tab w:val="right" w:leader="dot" w:pos="8306"/>
        </w:tabs>
        <w:spacing w:line="360" w:lineRule="auto"/>
        <w:ind w:firstLine="560" w:firstLineChars="200"/>
        <w:rPr>
          <w:rFonts w:ascii="Times New Roman" w:hAnsi="Times New Roman"/>
          <w:sz w:val="24"/>
          <w:szCs w:val="28"/>
        </w:rPr>
      </w:pPr>
      <w:r>
        <w:fldChar w:fldCharType="begin"/>
      </w:r>
      <w:r>
        <w:instrText xml:space="preserve"> HYPERLINK \l "_Toc25499" </w:instrText>
      </w:r>
      <w:r>
        <w:fldChar w:fldCharType="separate"/>
      </w:r>
      <w:r>
        <w:rPr>
          <w:rFonts w:hint="eastAsia" w:ascii="Times New Roman" w:hAnsi="Times New Roman"/>
          <w:sz w:val="24"/>
          <w:szCs w:val="28"/>
        </w:rPr>
        <w:t>8电气</w:t>
      </w:r>
      <w:r>
        <w:rPr>
          <w:rFonts w:hint="eastAsia" w:ascii="Times New Roman" w:hAnsi="Times New Roman"/>
          <w:sz w:val="24"/>
          <w:szCs w:val="28"/>
        </w:rPr>
        <w:fldChar w:fldCharType="end"/>
      </w:r>
    </w:p>
    <w:p>
      <w:pPr>
        <w:pStyle w:val="14"/>
        <w:tabs>
          <w:tab w:val="right" w:leader="dot" w:pos="8306"/>
        </w:tabs>
        <w:spacing w:line="360" w:lineRule="auto"/>
        <w:ind w:firstLine="560" w:firstLineChars="200"/>
        <w:rPr>
          <w:rFonts w:ascii="Times New Roman" w:hAnsi="Times New Roman"/>
          <w:sz w:val="24"/>
          <w:szCs w:val="28"/>
        </w:rPr>
      </w:pPr>
      <w:r>
        <w:fldChar w:fldCharType="begin"/>
      </w:r>
      <w:r>
        <w:instrText xml:space="preserve"> HYPERLINK \l "_Toc27466" </w:instrText>
      </w:r>
      <w:r>
        <w:fldChar w:fldCharType="separate"/>
      </w:r>
      <w:r>
        <w:rPr>
          <w:rFonts w:hint="eastAsia" w:ascii="Times New Roman" w:hAnsi="Times New Roman"/>
          <w:sz w:val="24"/>
          <w:szCs w:val="28"/>
        </w:rPr>
        <w:t>9 消防、给排水</w:t>
      </w:r>
      <w:r>
        <w:rPr>
          <w:rFonts w:hint="eastAsia" w:ascii="Times New Roman" w:hAnsi="Times New Roman"/>
          <w:sz w:val="24"/>
          <w:szCs w:val="28"/>
        </w:rPr>
        <w:fldChar w:fldCharType="end"/>
      </w:r>
    </w:p>
    <w:p>
      <w:pPr>
        <w:pStyle w:val="24"/>
        <w:spacing w:line="360" w:lineRule="auto"/>
        <w:ind w:firstLine="560" w:firstLineChars="200"/>
        <w:rPr>
          <w:rFonts w:ascii="Times New Roman" w:hAnsi="Times New Roman"/>
          <w:sz w:val="24"/>
          <w:szCs w:val="28"/>
        </w:rPr>
      </w:pPr>
      <w:r>
        <w:fldChar w:fldCharType="begin"/>
      </w:r>
      <w:r>
        <w:instrText xml:space="preserve"> HYPERLINK \l "_Toc28087" </w:instrText>
      </w:r>
      <w:r>
        <w:fldChar w:fldCharType="separate"/>
      </w:r>
      <w:r>
        <w:rPr>
          <w:rFonts w:hint="eastAsia" w:ascii="Times New Roman" w:hAnsi="Times New Roman"/>
          <w:sz w:val="24"/>
          <w:szCs w:val="28"/>
        </w:rPr>
        <w:t xml:space="preserve">10 </w:t>
      </w:r>
      <w:r>
        <w:rPr>
          <w:rFonts w:hint="eastAsia" w:ascii="Times New Roman" w:hAnsi="Times New Roman"/>
          <w:sz w:val="24"/>
          <w:szCs w:val="28"/>
          <w:lang w:eastAsia="zh-Hans"/>
        </w:rPr>
        <w:t>安全、职业卫生与环境保护</w:t>
      </w:r>
      <w:r>
        <w:rPr>
          <w:rFonts w:hint="eastAsia" w:ascii="Times New Roman" w:hAnsi="Times New Roman"/>
          <w:sz w:val="24"/>
          <w:szCs w:val="28"/>
          <w:lang w:eastAsia="zh-Hans"/>
        </w:rPr>
        <w:fldChar w:fldCharType="end"/>
      </w:r>
    </w:p>
    <w:p>
      <w:pPr>
        <w:pStyle w:val="3"/>
        <w:spacing w:before="190" w:after="190"/>
      </w:pPr>
      <w:bookmarkStart w:id="72" w:name="_Toc129476430"/>
      <w:bookmarkStart w:id="73" w:name="_Toc23253"/>
      <w:bookmarkStart w:id="74" w:name="_Toc18913"/>
      <w:r>
        <w:rPr>
          <w:rFonts w:hint="eastAsia"/>
        </w:rPr>
        <w:t>4.2 主要技术指标</w:t>
      </w:r>
      <w:bookmarkEnd w:id="72"/>
      <w:bookmarkEnd w:id="73"/>
      <w:bookmarkEnd w:id="74"/>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4.2.1明确了标准的主要内容和适用范围。</w:t>
      </w:r>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4.2.2列出了引用的相关标准：</w:t>
      </w:r>
    </w:p>
    <w:p>
      <w:pPr>
        <w:pStyle w:val="24"/>
        <w:spacing w:line="360" w:lineRule="auto"/>
        <w:rPr>
          <w:rFonts w:ascii="Times New Roman" w:hAnsi="Times New Roman"/>
          <w:sz w:val="24"/>
          <w:szCs w:val="28"/>
        </w:rPr>
      </w:pPr>
      <w:r>
        <w:rPr>
          <w:rFonts w:hint="eastAsia" w:ascii="Times New Roman" w:hAnsi="Times New Roman"/>
          <w:sz w:val="24"/>
          <w:szCs w:val="28"/>
        </w:rPr>
        <w:t>4.2.2.1引用《石油化工企业设计防火标准》GB50160相关条款，来规范煤气净化废气治理系统废气的分类划分、设备布置、管道布置、钢结构的耐火保护、消防等设计，以确保焦炉煤气净化废气治理系统内部及与焦炉煤气净化系统既有设施之间的防火安全要求。</w:t>
      </w:r>
    </w:p>
    <w:p>
      <w:pPr>
        <w:pStyle w:val="24"/>
        <w:spacing w:line="360" w:lineRule="auto"/>
        <w:rPr>
          <w:rFonts w:ascii="Times New Roman" w:hAnsi="Times New Roman"/>
          <w:sz w:val="24"/>
          <w:szCs w:val="28"/>
        </w:rPr>
      </w:pPr>
      <w:r>
        <w:rPr>
          <w:rFonts w:hint="eastAsia" w:ascii="Times New Roman" w:hAnsi="Times New Roman"/>
          <w:sz w:val="24"/>
          <w:szCs w:val="28"/>
        </w:rPr>
        <w:t>4.2.2.2引用《焦化安全规程》GB12710相关排放高度设计要求，防止有毒废气的排放不会影响生产作业人员的健康安全。</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焦炉煤气净化废气含有氰化氢、硫化氢、一氧化碳等剧毒、高毒组分，在非正常的情况下（包括检修时），该废气不能任意地点随意排放。</w:t>
      </w:r>
    </w:p>
    <w:p>
      <w:pPr>
        <w:pStyle w:val="24"/>
        <w:spacing w:line="360" w:lineRule="auto"/>
        <w:rPr>
          <w:rFonts w:ascii="Times New Roman" w:hAnsi="Times New Roman"/>
          <w:sz w:val="24"/>
          <w:szCs w:val="28"/>
        </w:rPr>
      </w:pPr>
      <w:r>
        <w:rPr>
          <w:rFonts w:hint="eastAsia" w:ascii="Times New Roman" w:hAnsi="Times New Roman"/>
          <w:sz w:val="24"/>
          <w:szCs w:val="28"/>
        </w:rPr>
        <w:t xml:space="preserve">4.2.2.3引用《石油化工石油气管道阻火器选用、检验及验收标准》SH/T3413 </w:t>
      </w:r>
    </w:p>
    <w:p>
      <w:pPr>
        <w:pStyle w:val="24"/>
        <w:spacing w:line="360" w:lineRule="auto"/>
        <w:rPr>
          <w:rFonts w:ascii="Times New Roman" w:hAnsi="Times New Roman"/>
          <w:sz w:val="24"/>
          <w:szCs w:val="28"/>
        </w:rPr>
      </w:pPr>
      <w:r>
        <w:rPr>
          <w:rFonts w:hint="eastAsia" w:ascii="Times New Roman" w:hAnsi="Times New Roman"/>
          <w:sz w:val="24"/>
          <w:szCs w:val="28"/>
        </w:rPr>
        <w:t>及《石油气体管道阻火器》GB/T13347。</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在调研时发现相关焦化企业、或者煤气净化废气治理系统设计单位或总承包单位对阻火器作用，认识不清。对阻爆燃或阻爆轰阻火器的设置，没有科学的概念，以致在实际应用中居然使用“丝网阻火器”，一旦管道内发生并形成爆炸，将无法有效实现火灾的蔓延，必将引起联锁的爆炸事故。</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本标准引入了阻火器的选型依据，并详细规定了阻爆燃和阻爆轰阻火器的应用场景，并提出“必须采用波纹板式阻火器”。执行标准的选型要求，一定可以在局部火灾发生时，隔绝火灾的蔓延，阻止群罐及系统火灾的发生。</w:t>
      </w:r>
    </w:p>
    <w:p>
      <w:pPr>
        <w:pStyle w:val="24"/>
        <w:spacing w:line="360" w:lineRule="auto"/>
        <w:rPr>
          <w:rFonts w:ascii="Times New Roman" w:hAnsi="Times New Roman"/>
          <w:sz w:val="24"/>
          <w:szCs w:val="28"/>
        </w:rPr>
      </w:pPr>
      <w:r>
        <w:rPr>
          <w:rFonts w:hint="eastAsia" w:ascii="Times New Roman" w:hAnsi="Times New Roman"/>
          <w:sz w:val="24"/>
          <w:szCs w:val="28"/>
        </w:rPr>
        <w:t>4.2.2.4引用中国石化油气回收相关储罐安全保护技术文件</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a)国外油气治理始于20世纪70年代；国内中石化介入最早。洛阳石化工程公司和长岭炼油厂于1985年就开始实施油气回收治理；自2000年后，中国石化逐渐引进了相关油气回收处理技术；同时中国石化下辖的中国石化青岛安全工程研究院、洛阳工程公司等联合研究出台了相关储罐安全的保护性文件，已在中国石化系统广泛应用，效果良好，引入这些文件的相关条款，可以很好地规避储罐被抽瘪的隐患，这些文件包括：</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《石油化工储运罐区VOCs治理项目油气连通工艺实施方案及安全措施指导意见》中国石化炼发函（2016）127号文。</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《石油化工企业储运罐区罐顶油气连通安全技术要求（试行）》中国石化安技〔2018〕33 号。</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《炼化企业常压储罐VOCs治理安全管理补充要求（试行）》中国石化炼安（2020）528号文。</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b)重点提出了储罐低压联锁氮气补充稳定储罐压力、高压自动联锁废气排放；在储罐压力高低值超出压力变送器设定值范围时，机械式呼吸阀自动起跳，且在呼吸阀失效时，还设置液压安全阀自动起跳的四重压力控制安全保障措施，确保此时储罐压力不超储罐能承受的设计压力，从而确保煤气净化废气治理系统的设计和运行，不会影响焦炉煤气净化系统的运行和安全。</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c)焦炉煤气净化废气，除了易燃易爆炸外，因含有焦油等易结晶化合物，会导致管道堵塞。本标准细化了废气收集（含输送）管路设计的细节，并重点强调了伴热、吹扫、凝液的收集与排放，以及排液设施的规范化，及系统阻力监控，确保废气治理系统在正常生产管理的基础上，不会因管道堵塞而导致非正常停运。</w:t>
      </w:r>
    </w:p>
    <w:p>
      <w:pPr>
        <w:pStyle w:val="24"/>
        <w:widowControl/>
        <w:rPr>
          <w:rFonts w:ascii="Times New Roman" w:hAnsi="Times New Roman"/>
          <w:sz w:val="24"/>
          <w:szCs w:val="28"/>
        </w:rPr>
      </w:pPr>
      <w:r>
        <w:rPr>
          <w:rFonts w:hint="eastAsia" w:ascii="Times New Roman" w:hAnsi="Times New Roman"/>
          <w:sz w:val="24"/>
          <w:szCs w:val="28"/>
        </w:rPr>
        <w:t>4.2.2.5借鉴了国际标准：</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a)《</w:t>
      </w:r>
      <w:r>
        <w:rPr>
          <w:rFonts w:ascii="Times New Roman" w:hAnsi="Times New Roman"/>
          <w:sz w:val="24"/>
          <w:szCs w:val="28"/>
        </w:rPr>
        <w:t>防爆标准</w:t>
      </w:r>
      <w:r>
        <w:rPr>
          <w:rFonts w:hint="eastAsia" w:ascii="Times New Roman" w:hAnsi="Times New Roman"/>
          <w:sz w:val="24"/>
          <w:szCs w:val="28"/>
        </w:rPr>
        <w:t>》</w:t>
      </w:r>
      <w:r>
        <w:rPr>
          <w:rFonts w:ascii="Times New Roman" w:hAnsi="Times New Roman"/>
          <w:sz w:val="24"/>
          <w:szCs w:val="28"/>
        </w:rPr>
        <w:t>NFPA69-66</w:t>
      </w:r>
      <w:r>
        <w:rPr>
          <w:rFonts w:hint="eastAsia" w:ascii="Times New Roman" w:hAnsi="Times New Roman"/>
          <w:sz w:val="24"/>
          <w:szCs w:val="28"/>
        </w:rPr>
        <w:t>《</w:t>
      </w:r>
      <w:r>
        <w:rPr>
          <w:rFonts w:ascii="Times New Roman" w:hAnsi="Times New Roman"/>
          <w:sz w:val="24"/>
          <w:szCs w:val="28"/>
        </w:rPr>
        <w:t>Standard on Exposion Prevengion Systems</w:t>
      </w:r>
      <w:r>
        <w:rPr>
          <w:rFonts w:hint="eastAsia" w:ascii="Times New Roman" w:hAnsi="Times New Roman"/>
          <w:sz w:val="24"/>
          <w:szCs w:val="28"/>
        </w:rPr>
        <w:t>》</w:t>
      </w:r>
      <w:r>
        <w:rPr>
          <w:rFonts w:ascii="Times New Roman" w:hAnsi="Times New Roman"/>
          <w:sz w:val="24"/>
          <w:szCs w:val="28"/>
        </w:rPr>
        <w:t xml:space="preserve"> </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借鉴其混合可燃气体爆炸极限的计算方法，避免了国内相关标准出现的公式错误。</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b)《</w:t>
      </w:r>
      <w:r>
        <w:rPr>
          <w:rFonts w:ascii="Times New Roman" w:hAnsi="Times New Roman"/>
          <w:sz w:val="24"/>
          <w:szCs w:val="28"/>
        </w:rPr>
        <w:t>气气混合物潜在火灾和氧化能力的测定</w:t>
      </w:r>
      <w:r>
        <w:rPr>
          <w:rFonts w:hint="eastAsia" w:ascii="Times New Roman" w:hAnsi="Times New Roman"/>
          <w:sz w:val="24"/>
          <w:szCs w:val="28"/>
        </w:rPr>
        <w:t>》</w:t>
      </w:r>
      <w:r>
        <w:rPr>
          <w:rFonts w:ascii="Times New Roman" w:hAnsi="Times New Roman"/>
          <w:sz w:val="24"/>
          <w:szCs w:val="28"/>
        </w:rPr>
        <w:t>1SO10156-2017,</w:t>
      </w:r>
      <w:r>
        <w:rPr>
          <w:rFonts w:hint="eastAsia" w:ascii="Times New Roman" w:hAnsi="Times New Roman"/>
          <w:sz w:val="24"/>
          <w:szCs w:val="28"/>
        </w:rPr>
        <w:t>《</w:t>
      </w:r>
      <w:r>
        <w:rPr>
          <w:rFonts w:ascii="Times New Roman" w:hAnsi="Times New Roman"/>
          <w:sz w:val="24"/>
          <w:szCs w:val="28"/>
        </w:rPr>
        <w:t xml:space="preserve">Gases and gas mixtures — Determination of fire potential and Oxidizing ability for the selection of cylinder valve outlets </w:t>
      </w:r>
      <w:r>
        <w:rPr>
          <w:rFonts w:hint="eastAsia" w:ascii="Times New Roman" w:hAnsi="Times New Roman"/>
          <w:sz w:val="24"/>
          <w:szCs w:val="28"/>
        </w:rPr>
        <w:t>》，借鉴其惰性气体环境下废气爆炸极限的计算方法。</w:t>
      </w:r>
    </w:p>
    <w:p>
      <w:pPr>
        <w:pStyle w:val="24"/>
        <w:spacing w:line="360" w:lineRule="auto"/>
        <w:ind w:firstLine="480" w:firstLineChars="200"/>
        <w:rPr>
          <w:rFonts w:ascii="Times New Roman" w:hAnsi="Times New Roman"/>
          <w:sz w:val="24"/>
          <w:szCs w:val="28"/>
        </w:rPr>
      </w:pPr>
      <w:r>
        <w:rPr>
          <w:rFonts w:hint="eastAsia" w:ascii="Times New Roman" w:hAnsi="Times New Roman"/>
          <w:sz w:val="24"/>
          <w:szCs w:val="28"/>
        </w:rPr>
        <w:t>以上两个标准的引用，确定废气混合组分LEL的计算方法，对于燃烧安全的控制将起到关键的作用</w:t>
      </w:r>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4.2.3明确了标准中的相关术语和定义。</w:t>
      </w:r>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4.2.4明确了储罐废气量的计算方法，规避了既有标准过大的推荐值对废气治理系统的影响，以及过小的估算值导致在正常运行时依然有废气从罐顶外溢的错误设计，可以改善后系统的匹配性及运行的稳定性，同时避免“收集不彻底”和“无效治理”的现象。</w:t>
      </w:r>
    </w:p>
    <w:p>
      <w:pPr>
        <w:spacing w:line="360" w:lineRule="auto"/>
        <w:rPr>
          <w:rFonts w:ascii="Times New Roman" w:hAnsi="Times New Roman"/>
          <w:sz w:val="24"/>
          <w:szCs w:val="28"/>
        </w:rPr>
      </w:pPr>
      <w:r>
        <w:rPr>
          <w:rFonts w:hint="eastAsia" w:ascii="Times New Roman" w:hAnsi="Times New Roman"/>
          <w:sz w:val="24"/>
          <w:szCs w:val="28"/>
        </w:rPr>
        <w:t>SH/T 3007表5.1.6所列的储罐热呼吸通气需要量（接近小呼吸气量）是引用了API2000的数据。API2000数据是根据储罐内气相空间温升速率为37.8℃/h且5000m3以下按空罐全容积计算得到的，这与实际生产有很大的差异。HJ 1094</w:t>
      </w:r>
    </w:p>
    <w:p>
      <w:pPr>
        <w:spacing w:line="360" w:lineRule="auto"/>
        <w:rPr>
          <w:rFonts w:ascii="Times New Roman" w:hAnsi="Times New Roman"/>
          <w:sz w:val="24"/>
          <w:szCs w:val="28"/>
        </w:rPr>
      </w:pPr>
      <w:r>
        <w:rPr>
          <w:rFonts w:hint="eastAsia" w:ascii="Times New Roman" w:hAnsi="Times New Roman"/>
          <w:sz w:val="24"/>
          <w:szCs w:val="28"/>
        </w:rPr>
        <w:t>规定的储罐气量确定方法和估算推荐表，比SH/T3007更精确些，但是我国南北东西经度差异较大，昼夜温差相差较多，不同地域应温差和是否保温等造成的小呼吸量差异也很大。</w:t>
      </w:r>
    </w:p>
    <w:p>
      <w:pPr>
        <w:spacing w:line="360" w:lineRule="auto"/>
        <w:ind w:firstLine="480" w:firstLineChars="200"/>
        <w:rPr>
          <w:rFonts w:ascii="Times New Roman" w:hAnsi="Times New Roman"/>
          <w:sz w:val="24"/>
          <w:szCs w:val="28"/>
        </w:rPr>
      </w:pPr>
      <w:r>
        <w:rPr>
          <w:rFonts w:hint="eastAsia" w:ascii="Times New Roman" w:hAnsi="Times New Roman"/>
          <w:sz w:val="24"/>
          <w:szCs w:val="28"/>
        </w:rPr>
        <w:t>本标准推荐的计算方法是根据气体状态方程来计算气体在气相空间的膨胀量作为小呼吸的基础部分，在确定规模时，放适当的裕量来作为排放废气的规模数据。</w:t>
      </w:r>
    </w:p>
    <w:p>
      <w:pPr>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4.2.5明确了储罐改造附件设置的要求、罐顶附件压力的设置分布要求，确保在生产过程储罐安全。</w:t>
      </w:r>
    </w:p>
    <w:p>
      <w:pPr>
        <w:spacing w:line="360" w:lineRule="auto"/>
        <w:ind w:firstLine="480" w:firstLineChars="200"/>
        <w:rPr>
          <w:rFonts w:ascii="Times New Roman" w:hAnsi="Times New Roman"/>
          <w:sz w:val="24"/>
          <w:szCs w:val="28"/>
        </w:rPr>
      </w:pPr>
      <w:r>
        <w:rPr>
          <w:rFonts w:hint="eastAsia" w:ascii="Times New Roman" w:hAnsi="Times New Roman"/>
          <w:sz w:val="24"/>
          <w:szCs w:val="28"/>
        </w:rPr>
        <w:t>进一步细化了实施废气收集储罐压力分布的阶梯控制方案，因为各企业储罐设计压力不一致，以及运行时间长短不一致，储罐腐蚀程度等状况不一样，无法给出具体控制数值，只能在实施前对每个项目储罐进行评估后再确定具体压力数值。</w:t>
      </w:r>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4.2.6 明确了废气治理系统防止因回火、管道违章动火等导致管道内火灾蔓延的具体要求，明确了对阻火器的设计要求。</w:t>
      </w:r>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4.2.7 明确了废气输送的安全保护和自动调节要求。确保源头产生废气都能收集回来，并安全输送的下游治理或处理系统。</w:t>
      </w:r>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4.2.8明确了废气预处理方法，以减少废气中焦油、萘等易堵物的浓度和累积，延长稳定运行周期；同时减少有毒废气的浓度，改善作业环境。</w:t>
      </w:r>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4.2.9 对系统排凝、伴热、吹扫作了明确规定，这是焦化化产废气治理长期稳定运行的手段（定期操作将更加关键）。</w:t>
      </w:r>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4.2.10明确了可燃气体爆炸下限测量仪的原理和型号，确保测量数值的准确，从而确保焚烧的安全。</w:t>
      </w:r>
    </w:p>
    <w:p>
      <w:pPr>
        <w:pStyle w:val="24"/>
        <w:spacing w:line="360" w:lineRule="auto"/>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4.2.11明确了进焚烧设施前的系统配置、过程监控、安全联锁要求。</w:t>
      </w:r>
    </w:p>
    <w:p>
      <w:pPr>
        <w:pStyle w:val="24"/>
        <w:spacing w:line="360" w:lineRule="auto"/>
        <w:ind w:firstLine="480" w:firstLineChars="200"/>
        <w:rPr>
          <w:rFonts w:ascii="Times New Roman" w:hAnsi="Times New Roman"/>
          <w:color w:val="000000" w:themeColor="text1"/>
          <w:sz w:val="24"/>
          <w:szCs w:val="28"/>
          <w14:textFill>
            <w14:solidFill>
              <w14:schemeClr w14:val="tx1"/>
            </w14:solidFill>
          </w14:textFill>
        </w:rPr>
      </w:pPr>
      <w:r>
        <w:rPr>
          <w:rFonts w:hint="eastAsia" w:ascii="Times New Roman" w:hAnsi="Times New Roman"/>
          <w:color w:val="000000" w:themeColor="text1"/>
          <w:sz w:val="24"/>
          <w:szCs w:val="28"/>
          <w14:textFill>
            <w14:solidFill>
              <w14:schemeClr w14:val="tx1"/>
            </w14:solidFill>
          </w14:textFill>
        </w:rPr>
        <w:t>本标准化了大量的条款来规范进焚烧系统的安全控制和焚烧炉运行的过程监控，其原因是废气焚烧炉爆炸事故频发的真正原因在于进炉燃烧可燃气体浓度的检测、控制以及紧急排放安全联锁设计不完善。</w:t>
      </w:r>
    </w:p>
    <w:p>
      <w:pPr>
        <w:pStyle w:val="24"/>
        <w:spacing w:line="360" w:lineRule="auto"/>
      </w:pPr>
      <w:r>
        <w:rPr>
          <w:rFonts w:hint="eastAsia" w:ascii="Times New Roman" w:hAnsi="Times New Roman"/>
          <w:color w:val="000000" w:themeColor="text1"/>
          <w:sz w:val="24"/>
          <w:szCs w:val="28"/>
          <w14:textFill>
            <w14:solidFill>
              <w14:schemeClr w14:val="tx1"/>
            </w14:solidFill>
          </w14:textFill>
        </w:rPr>
        <w:t>4.2.12明确了进入废气进入煤气系统的氧含量评估方法、控制要求、和紧急排放措施。</w:t>
      </w:r>
    </w:p>
    <w:p>
      <w:pPr>
        <w:pStyle w:val="2"/>
        <w:spacing w:before="190" w:after="190"/>
      </w:pPr>
      <w:bookmarkStart w:id="75" w:name="_Toc26311"/>
      <w:bookmarkStart w:id="76" w:name="_Toc3821"/>
      <w:r>
        <w:rPr>
          <w:rFonts w:hint="eastAsia"/>
        </w:rPr>
        <w:t>五、重大意见分歧的处理依据和结果</w:t>
      </w:r>
      <w:bookmarkEnd w:id="75"/>
      <w:bookmarkEnd w:id="76"/>
    </w:p>
    <w:p>
      <w:pPr>
        <w:adjustRightInd w:val="0"/>
        <w:snapToGrid w:val="0"/>
        <w:spacing w:line="360" w:lineRule="auto"/>
        <w:ind w:firstLine="480" w:firstLineChars="200"/>
      </w:pPr>
      <w:r>
        <w:rPr>
          <w:rFonts w:hint="eastAsia" w:ascii="Times New Roman" w:hAnsi="Times New Roman"/>
          <w:sz w:val="24"/>
          <w:szCs w:val="28"/>
        </w:rPr>
        <w:t>本文件无重大意见分歧。</w:t>
      </w:r>
    </w:p>
    <w:bookmarkEnd w:id="69"/>
    <w:bookmarkEnd w:id="70"/>
    <w:bookmarkEnd w:id="71"/>
    <w:p>
      <w:pPr>
        <w:pStyle w:val="2"/>
        <w:numPr>
          <w:ilvl w:val="0"/>
          <w:numId w:val="5"/>
        </w:numPr>
        <w:spacing w:before="190" w:after="190"/>
      </w:pPr>
      <w:bookmarkStart w:id="77" w:name="_Toc10772"/>
      <w:bookmarkStart w:id="78" w:name="_Toc31329"/>
      <w:bookmarkStart w:id="79" w:name="_Toc22461"/>
      <w:bookmarkStart w:id="80" w:name="_Toc129476433"/>
      <w:bookmarkStart w:id="81" w:name="_Toc12338"/>
      <w:bookmarkStart w:id="82" w:name="_Toc91145306"/>
      <w:bookmarkStart w:id="83" w:name="_Toc49521991"/>
      <w:r>
        <w:t>与国内外同类标准水平的对比情况</w:t>
      </w:r>
      <w:bookmarkEnd w:id="77"/>
      <w:bookmarkEnd w:id="78"/>
      <w:bookmarkEnd w:id="79"/>
      <w:bookmarkEnd w:id="80"/>
      <w:bookmarkEnd w:id="81"/>
      <w:bookmarkEnd w:id="82"/>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未查到类似内容国际标准。</w:t>
      </w:r>
    </w:p>
    <w:p>
      <w:pPr>
        <w:adjustRightInd w:val="0"/>
        <w:snapToGrid w:val="0"/>
        <w:spacing w:line="360" w:lineRule="auto"/>
        <w:ind w:firstLine="480" w:firstLineChars="200"/>
      </w:pPr>
      <w:r>
        <w:rPr>
          <w:rFonts w:hint="eastAsia" w:ascii="Times New Roman" w:hAnsi="Times New Roman"/>
          <w:sz w:val="24"/>
          <w:szCs w:val="28"/>
        </w:rPr>
        <w:t>目前国内没有焦炉煤气净化废气治理相关的设计标准。</w:t>
      </w:r>
    </w:p>
    <w:bookmarkEnd w:id="83"/>
    <w:p>
      <w:pPr>
        <w:pStyle w:val="2"/>
        <w:numPr>
          <w:ilvl w:val="0"/>
          <w:numId w:val="5"/>
        </w:numPr>
        <w:spacing w:before="190" w:after="190"/>
      </w:pPr>
      <w:bookmarkStart w:id="84" w:name="_Toc129476435"/>
      <w:bookmarkStart w:id="85" w:name="_Toc20117"/>
      <w:bookmarkStart w:id="86" w:name="_Toc4808"/>
      <w:bookmarkStart w:id="87" w:name="_Toc49521994"/>
      <w:bookmarkStart w:id="88" w:name="_Toc91145308"/>
      <w:bookmarkStart w:id="89" w:name="_Toc29055"/>
      <w:bookmarkStart w:id="90" w:name="_Toc30069"/>
      <w:r>
        <w:t>作为推荐性标准或者强制性标准的建议及其理由</w:t>
      </w:r>
      <w:bookmarkEnd w:id="84"/>
      <w:bookmarkEnd w:id="85"/>
      <w:bookmarkEnd w:id="86"/>
      <w:bookmarkEnd w:id="87"/>
      <w:bookmarkEnd w:id="88"/>
      <w:bookmarkEnd w:id="89"/>
      <w:bookmarkEnd w:id="90"/>
    </w:p>
    <w:p>
      <w:pPr>
        <w:adjustRightInd w:val="0"/>
        <w:snapToGrid w:val="0"/>
        <w:spacing w:line="360" w:lineRule="auto"/>
        <w:ind w:firstLine="480" w:firstLineChars="200"/>
      </w:pPr>
      <w:r>
        <w:rPr>
          <w:rFonts w:hint="eastAsia" w:ascii="Times New Roman" w:hAnsi="Times New Roman"/>
          <w:sz w:val="24"/>
          <w:szCs w:val="28"/>
        </w:rPr>
        <w:t>按照标准化法相关规定，建议作为推荐性标准发布。</w:t>
      </w:r>
    </w:p>
    <w:p>
      <w:pPr>
        <w:pStyle w:val="2"/>
        <w:spacing w:before="190" w:after="190"/>
      </w:pPr>
      <w:bookmarkStart w:id="91" w:name="_Toc22086"/>
      <w:bookmarkStart w:id="92" w:name="_Toc129476436"/>
      <w:bookmarkStart w:id="93" w:name="_Toc4523"/>
      <w:bookmarkStart w:id="94" w:name="_Toc91145309"/>
      <w:bookmarkStart w:id="95" w:name="_Toc49521995"/>
      <w:bookmarkStart w:id="96" w:name="_Toc4341"/>
      <w:bookmarkStart w:id="97" w:name="_Toc11685"/>
      <w:r>
        <w:rPr>
          <w:rFonts w:hint="eastAsia"/>
        </w:rPr>
        <w:t>八</w:t>
      </w:r>
      <w:r>
        <w:t>、</w:t>
      </w:r>
      <w:bookmarkEnd w:id="91"/>
      <w:bookmarkEnd w:id="92"/>
      <w:bookmarkEnd w:id="93"/>
      <w:bookmarkEnd w:id="94"/>
      <w:bookmarkEnd w:id="95"/>
      <w:r>
        <w:rPr>
          <w:rFonts w:hint="eastAsia"/>
        </w:rPr>
        <w:t>强制性标准实施风险点、风险程度、风险防控措施和预案</w:t>
      </w:r>
      <w:bookmarkEnd w:id="96"/>
      <w:bookmarkEnd w:id="97"/>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（无）</w:t>
      </w:r>
    </w:p>
    <w:p>
      <w:pPr>
        <w:pStyle w:val="2"/>
        <w:spacing w:before="190" w:after="190"/>
      </w:pPr>
      <w:bookmarkStart w:id="98" w:name="_Toc19854"/>
      <w:bookmarkStart w:id="99" w:name="_Toc49521997"/>
      <w:bookmarkStart w:id="100" w:name="_Toc129476437"/>
      <w:bookmarkStart w:id="101" w:name="_Toc91145310"/>
      <w:bookmarkStart w:id="102" w:name="_Toc27363"/>
      <w:bookmarkStart w:id="103" w:name="_Toc15700"/>
      <w:bookmarkStart w:id="104" w:name="_Toc15997"/>
      <w:r>
        <w:rPr>
          <w:rFonts w:hint="eastAsia"/>
        </w:rPr>
        <w:t>九</w:t>
      </w:r>
      <w:r>
        <w:t>、其他应予说明的事项</w:t>
      </w:r>
      <w:bookmarkEnd w:id="98"/>
      <w:bookmarkEnd w:id="99"/>
      <w:bookmarkEnd w:id="100"/>
      <w:bookmarkEnd w:id="101"/>
      <w:bookmarkEnd w:id="102"/>
      <w:bookmarkEnd w:id="103"/>
      <w:bookmarkEnd w:id="104"/>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本标准是首次制定；这是理论研究和长达3年的实际应用的总结。</w:t>
      </w:r>
    </w:p>
    <w:p>
      <w:pPr>
        <w:adjustRightInd w:val="0"/>
        <w:snapToGrid w:val="0"/>
        <w:spacing w:line="360" w:lineRule="auto"/>
        <w:ind w:firstLine="480" w:firstLineChars="200"/>
        <w:rPr>
          <w:rFonts w:ascii="Times New Roman" w:hAnsi="Times New Roman"/>
          <w:sz w:val="24"/>
          <w:szCs w:val="28"/>
        </w:rPr>
      </w:pPr>
      <w:r>
        <w:rPr>
          <w:rFonts w:hint="eastAsia" w:ascii="Times New Roman" w:hAnsi="Times New Roman"/>
          <w:sz w:val="24"/>
          <w:szCs w:val="28"/>
        </w:rPr>
        <w:t>目前煤气净化废气治理项目，有的已经进行到了第三次改造阶段，有的才准备新建，应尽快将此标准推向社会，以期更大范围解决焦炉煤气净化废气治理存在的问题，为环保事业做出更大的贡献。</w:t>
      </w:r>
    </w:p>
    <w:sectPr>
      <w:footerReference r:id="rId3" w:type="default"/>
      <w:pgSz w:w="11906" w:h="16838"/>
      <w:pgMar w:top="1440" w:right="1800" w:bottom="1440" w:left="1800" w:header="851" w:footer="992" w:gutter="0"/>
      <w:pgNumType w:start="1"/>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F7EDCB"/>
    <w:multiLevelType w:val="singleLevel"/>
    <w:tmpl w:val="BAF7EDCB"/>
    <w:lvl w:ilvl="0" w:tentative="0">
      <w:start w:val="3"/>
      <w:numFmt w:val="chineseCounting"/>
      <w:suff w:val="nothing"/>
      <w:lvlText w:val="%1、"/>
      <w:lvlJc w:val="left"/>
      <w:rPr>
        <w:rFonts w:hint="eastAsia"/>
      </w:rPr>
    </w:lvl>
  </w:abstractNum>
  <w:abstractNum w:abstractNumId="1">
    <w:nsid w:val="C42D1647"/>
    <w:multiLevelType w:val="multilevel"/>
    <w:tmpl w:val="C42D1647"/>
    <w:lvl w:ilvl="0" w:tentative="0">
      <w:start w:val="1"/>
      <w:numFmt w:val="decimal"/>
      <w:pStyle w:val="34"/>
      <w:suff w:val="nothing"/>
      <w:lvlText w:val="表%1　"/>
      <w:lvlJc w:val="left"/>
      <w:pPr>
        <w:ind w:left="397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5"/>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CB961764"/>
    <w:multiLevelType w:val="singleLevel"/>
    <w:tmpl w:val="CB961764"/>
    <w:lvl w:ilvl="0" w:tentative="0">
      <w:start w:val="1"/>
      <w:numFmt w:val="decimal"/>
      <w:suff w:val="nothing"/>
      <w:lvlText w:val="%1）"/>
      <w:lvlJc w:val="left"/>
    </w:lvl>
  </w:abstractNum>
  <w:abstractNum w:abstractNumId="3">
    <w:nsid w:val="D80D9AB9"/>
    <w:multiLevelType w:val="singleLevel"/>
    <w:tmpl w:val="D80D9AB9"/>
    <w:lvl w:ilvl="0" w:tentative="0">
      <w:start w:val="6"/>
      <w:numFmt w:val="chineseCounting"/>
      <w:suff w:val="nothing"/>
      <w:lvlText w:val="%1、"/>
      <w:lvlJc w:val="left"/>
      <w:rPr>
        <w:rFonts w:hint="eastAsia"/>
      </w:r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30"/>
      <w:suff w:val="nothing"/>
      <w:lvlText w:val="%1%2　"/>
      <w:lvlJc w:val="left"/>
      <w:pPr>
        <w:ind w:left="0" w:firstLine="0"/>
      </w:pPr>
      <w:rPr>
        <w:rFonts w:hint="eastAsia" w:ascii="黑体" w:eastAsia="黑体"/>
        <w:b w:val="0"/>
        <w:i w:val="0"/>
        <w:sz w:val="21"/>
      </w:rPr>
    </w:lvl>
    <w:lvl w:ilvl="2" w:tentative="0">
      <w:start w:val="1"/>
      <w:numFmt w:val="decimal"/>
      <w:pStyle w:val="29"/>
      <w:suff w:val="nothing"/>
      <w:lvlText w:val="%1%2.%3　"/>
      <w:lvlJc w:val="left"/>
      <w:pPr>
        <w:ind w:left="5103"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黑体" w:hAnsi="黑体" w:eastAsia="黑体"/>
        <w:b w:val="0"/>
        <w:i w:val="0"/>
        <w:color w:val="auto"/>
        <w:sz w:val="21"/>
        <w:highlight w:val="none"/>
      </w:rPr>
    </w:lvl>
    <w:lvl w:ilvl="4" w:tentative="0">
      <w:start w:val="1"/>
      <w:numFmt w:val="decimal"/>
      <w:suff w:val="nothing"/>
      <w:lvlText w:val="%1%2.%3.%4.%5　"/>
      <w:lvlJc w:val="left"/>
      <w:pPr>
        <w:ind w:left="852" w:firstLine="0"/>
      </w:pPr>
      <w:rPr>
        <w:rFonts w:hint="eastAsia" w:ascii="黑体" w:hAnsi="黑体" w:eastAsia="黑体"/>
        <w:b w:val="0"/>
        <w:bCs w:val="0"/>
        <w:i w:val="0"/>
        <w:sz w:val="21"/>
      </w:rPr>
    </w:lvl>
    <w:lvl w:ilvl="5" w:tentative="0">
      <w:start w:val="1"/>
      <w:numFmt w:val="decimal"/>
      <w:suff w:val="nothing"/>
      <w:lvlText w:val="%1%2.%3.%4.%5.%6　"/>
      <w:lvlJc w:val="left"/>
      <w:pPr>
        <w:ind w:left="2551" w:firstLine="0"/>
      </w:pPr>
      <w:rPr>
        <w:rFonts w:hint="eastAsia" w:ascii="黑体" w:eastAsia="黑体"/>
        <w:b w:val="0"/>
        <w:i w:val="0"/>
        <w:sz w:val="21"/>
      </w:rPr>
    </w:lvl>
    <w:lvl w:ilvl="6" w:tentative="0">
      <w:start w:val="1"/>
      <w:numFmt w:val="decimal"/>
      <w:suff w:val="nothing"/>
      <w:lvlText w:val="%1%2.%3.%4.%5.%6.%7　"/>
      <w:lvlJc w:val="left"/>
      <w:pPr>
        <w:ind w:left="1135"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kMmQyYTYzZDAxZjkzYjllNmU3YWQ3OTQ4YTU4M2IifQ=="/>
  </w:docVars>
  <w:rsids>
    <w:rsidRoot w:val="0E4D1AFB"/>
    <w:rsid w:val="00017BC5"/>
    <w:rsid w:val="00017F03"/>
    <w:rsid w:val="0003412A"/>
    <w:rsid w:val="000479AD"/>
    <w:rsid w:val="0005057E"/>
    <w:rsid w:val="00056A0D"/>
    <w:rsid w:val="00064112"/>
    <w:rsid w:val="00066F52"/>
    <w:rsid w:val="000712C7"/>
    <w:rsid w:val="0007580A"/>
    <w:rsid w:val="00084062"/>
    <w:rsid w:val="000976D2"/>
    <w:rsid w:val="000A7C90"/>
    <w:rsid w:val="000B025F"/>
    <w:rsid w:val="000B6CF2"/>
    <w:rsid w:val="000C1ACD"/>
    <w:rsid w:val="000C4CA4"/>
    <w:rsid w:val="000D39C1"/>
    <w:rsid w:val="00106A6F"/>
    <w:rsid w:val="00113104"/>
    <w:rsid w:val="001161F4"/>
    <w:rsid w:val="0011633E"/>
    <w:rsid w:val="00152E40"/>
    <w:rsid w:val="001610D5"/>
    <w:rsid w:val="001627ED"/>
    <w:rsid w:val="001831F0"/>
    <w:rsid w:val="00194E08"/>
    <w:rsid w:val="00194EB3"/>
    <w:rsid w:val="001A2BDE"/>
    <w:rsid w:val="001A3987"/>
    <w:rsid w:val="001A4E3B"/>
    <w:rsid w:val="001C054F"/>
    <w:rsid w:val="001C1142"/>
    <w:rsid w:val="001C4D06"/>
    <w:rsid w:val="001D4169"/>
    <w:rsid w:val="001D55B9"/>
    <w:rsid w:val="001E1FE0"/>
    <w:rsid w:val="001F406B"/>
    <w:rsid w:val="001F4ED2"/>
    <w:rsid w:val="00201A71"/>
    <w:rsid w:val="00216A1D"/>
    <w:rsid w:val="00227CE6"/>
    <w:rsid w:val="00227E45"/>
    <w:rsid w:val="0024444C"/>
    <w:rsid w:val="002537DD"/>
    <w:rsid w:val="00254B97"/>
    <w:rsid w:val="00266669"/>
    <w:rsid w:val="002A0D7F"/>
    <w:rsid w:val="002A6610"/>
    <w:rsid w:val="002B1FFD"/>
    <w:rsid w:val="002D0E55"/>
    <w:rsid w:val="002D69B5"/>
    <w:rsid w:val="002E5C5D"/>
    <w:rsid w:val="002F0F45"/>
    <w:rsid w:val="003028D9"/>
    <w:rsid w:val="00320670"/>
    <w:rsid w:val="00326342"/>
    <w:rsid w:val="003577D3"/>
    <w:rsid w:val="003660D4"/>
    <w:rsid w:val="003769AB"/>
    <w:rsid w:val="003A0490"/>
    <w:rsid w:val="003B1E47"/>
    <w:rsid w:val="003B54E6"/>
    <w:rsid w:val="00433CF3"/>
    <w:rsid w:val="0043572F"/>
    <w:rsid w:val="004358B2"/>
    <w:rsid w:val="00462919"/>
    <w:rsid w:val="0046747F"/>
    <w:rsid w:val="00483405"/>
    <w:rsid w:val="00491EB7"/>
    <w:rsid w:val="004A6881"/>
    <w:rsid w:val="004B1204"/>
    <w:rsid w:val="004C4572"/>
    <w:rsid w:val="004D5BC4"/>
    <w:rsid w:val="004E4436"/>
    <w:rsid w:val="004E5924"/>
    <w:rsid w:val="004E7FD1"/>
    <w:rsid w:val="00507E2C"/>
    <w:rsid w:val="00520C09"/>
    <w:rsid w:val="005243F9"/>
    <w:rsid w:val="00524EDD"/>
    <w:rsid w:val="005408E7"/>
    <w:rsid w:val="00566D7F"/>
    <w:rsid w:val="0058464B"/>
    <w:rsid w:val="00584CC4"/>
    <w:rsid w:val="00585AAC"/>
    <w:rsid w:val="005862E8"/>
    <w:rsid w:val="005A49B9"/>
    <w:rsid w:val="005A6884"/>
    <w:rsid w:val="005B2A37"/>
    <w:rsid w:val="005B2B6A"/>
    <w:rsid w:val="005E533C"/>
    <w:rsid w:val="005F207E"/>
    <w:rsid w:val="006000EF"/>
    <w:rsid w:val="00612FF1"/>
    <w:rsid w:val="00620F72"/>
    <w:rsid w:val="00622477"/>
    <w:rsid w:val="00636921"/>
    <w:rsid w:val="00646247"/>
    <w:rsid w:val="006719C4"/>
    <w:rsid w:val="00687A15"/>
    <w:rsid w:val="00692E98"/>
    <w:rsid w:val="00693DA0"/>
    <w:rsid w:val="006A0FCB"/>
    <w:rsid w:val="006A2656"/>
    <w:rsid w:val="006B4777"/>
    <w:rsid w:val="006C15F0"/>
    <w:rsid w:val="006C2C03"/>
    <w:rsid w:val="006C7C74"/>
    <w:rsid w:val="006D7277"/>
    <w:rsid w:val="006D741C"/>
    <w:rsid w:val="006E7B73"/>
    <w:rsid w:val="006F02AC"/>
    <w:rsid w:val="006F6D51"/>
    <w:rsid w:val="00701701"/>
    <w:rsid w:val="007036B3"/>
    <w:rsid w:val="00715F06"/>
    <w:rsid w:val="007317CB"/>
    <w:rsid w:val="00731B5A"/>
    <w:rsid w:val="007337FE"/>
    <w:rsid w:val="00735336"/>
    <w:rsid w:val="00787103"/>
    <w:rsid w:val="007A49BC"/>
    <w:rsid w:val="007A54DE"/>
    <w:rsid w:val="007B2EC4"/>
    <w:rsid w:val="007B399D"/>
    <w:rsid w:val="007C0F3F"/>
    <w:rsid w:val="007C4071"/>
    <w:rsid w:val="007D036B"/>
    <w:rsid w:val="007D1A71"/>
    <w:rsid w:val="007D3CC5"/>
    <w:rsid w:val="007D5554"/>
    <w:rsid w:val="007F35A5"/>
    <w:rsid w:val="007F56F4"/>
    <w:rsid w:val="007F5C23"/>
    <w:rsid w:val="00804681"/>
    <w:rsid w:val="00816012"/>
    <w:rsid w:val="00823AA6"/>
    <w:rsid w:val="0083575D"/>
    <w:rsid w:val="0083732D"/>
    <w:rsid w:val="0084081E"/>
    <w:rsid w:val="00846706"/>
    <w:rsid w:val="00861327"/>
    <w:rsid w:val="0086558D"/>
    <w:rsid w:val="00866618"/>
    <w:rsid w:val="0087716E"/>
    <w:rsid w:val="00885FBA"/>
    <w:rsid w:val="008A6D4F"/>
    <w:rsid w:val="008B47BF"/>
    <w:rsid w:val="008C1D32"/>
    <w:rsid w:val="008C74F7"/>
    <w:rsid w:val="008D2B5A"/>
    <w:rsid w:val="008D2F2F"/>
    <w:rsid w:val="008D7957"/>
    <w:rsid w:val="008E2A22"/>
    <w:rsid w:val="008E4885"/>
    <w:rsid w:val="008F1A2A"/>
    <w:rsid w:val="008F3A6F"/>
    <w:rsid w:val="0090138A"/>
    <w:rsid w:val="00914546"/>
    <w:rsid w:val="00915F4D"/>
    <w:rsid w:val="00931B47"/>
    <w:rsid w:val="00950453"/>
    <w:rsid w:val="00960E16"/>
    <w:rsid w:val="00977BEF"/>
    <w:rsid w:val="00984D52"/>
    <w:rsid w:val="009902F8"/>
    <w:rsid w:val="00993030"/>
    <w:rsid w:val="009B0FC3"/>
    <w:rsid w:val="009B3DD0"/>
    <w:rsid w:val="009C158E"/>
    <w:rsid w:val="009C211C"/>
    <w:rsid w:val="009D098C"/>
    <w:rsid w:val="009E7DFE"/>
    <w:rsid w:val="009F25EE"/>
    <w:rsid w:val="009F6916"/>
    <w:rsid w:val="00A018A3"/>
    <w:rsid w:val="00A07BBF"/>
    <w:rsid w:val="00A25FF1"/>
    <w:rsid w:val="00A40135"/>
    <w:rsid w:val="00A531ED"/>
    <w:rsid w:val="00A5645A"/>
    <w:rsid w:val="00A61C38"/>
    <w:rsid w:val="00A6593A"/>
    <w:rsid w:val="00A67147"/>
    <w:rsid w:val="00A73A16"/>
    <w:rsid w:val="00A85151"/>
    <w:rsid w:val="00A93946"/>
    <w:rsid w:val="00AA4AE6"/>
    <w:rsid w:val="00AC0C1F"/>
    <w:rsid w:val="00AD20D3"/>
    <w:rsid w:val="00AF03C3"/>
    <w:rsid w:val="00B12E40"/>
    <w:rsid w:val="00B15E64"/>
    <w:rsid w:val="00B35EB8"/>
    <w:rsid w:val="00B51427"/>
    <w:rsid w:val="00B518B6"/>
    <w:rsid w:val="00B763A2"/>
    <w:rsid w:val="00B77086"/>
    <w:rsid w:val="00B926EF"/>
    <w:rsid w:val="00B92DA2"/>
    <w:rsid w:val="00BB1D55"/>
    <w:rsid w:val="00BB78E6"/>
    <w:rsid w:val="00BD040E"/>
    <w:rsid w:val="00BE4BB0"/>
    <w:rsid w:val="00BF333B"/>
    <w:rsid w:val="00BF75F1"/>
    <w:rsid w:val="00C05A37"/>
    <w:rsid w:val="00C05B51"/>
    <w:rsid w:val="00C12A2F"/>
    <w:rsid w:val="00C14451"/>
    <w:rsid w:val="00C20D3E"/>
    <w:rsid w:val="00C3328A"/>
    <w:rsid w:val="00C4214D"/>
    <w:rsid w:val="00C4328C"/>
    <w:rsid w:val="00C56429"/>
    <w:rsid w:val="00C57CC4"/>
    <w:rsid w:val="00C7034B"/>
    <w:rsid w:val="00C737B2"/>
    <w:rsid w:val="00C73E2A"/>
    <w:rsid w:val="00C84A65"/>
    <w:rsid w:val="00C85217"/>
    <w:rsid w:val="00C91683"/>
    <w:rsid w:val="00C95E48"/>
    <w:rsid w:val="00CA70AE"/>
    <w:rsid w:val="00CC2A8D"/>
    <w:rsid w:val="00CC790B"/>
    <w:rsid w:val="00CD1B7E"/>
    <w:rsid w:val="00CD23B7"/>
    <w:rsid w:val="00CE4176"/>
    <w:rsid w:val="00CF4405"/>
    <w:rsid w:val="00CF59CF"/>
    <w:rsid w:val="00D00DFF"/>
    <w:rsid w:val="00D012CD"/>
    <w:rsid w:val="00D03620"/>
    <w:rsid w:val="00D25C2E"/>
    <w:rsid w:val="00D377CF"/>
    <w:rsid w:val="00D4138F"/>
    <w:rsid w:val="00D55F77"/>
    <w:rsid w:val="00D64B9C"/>
    <w:rsid w:val="00D705C7"/>
    <w:rsid w:val="00D80114"/>
    <w:rsid w:val="00D87CAC"/>
    <w:rsid w:val="00DA07DE"/>
    <w:rsid w:val="00DA5BEB"/>
    <w:rsid w:val="00DB3536"/>
    <w:rsid w:val="00DE6801"/>
    <w:rsid w:val="00E1410E"/>
    <w:rsid w:val="00E172B4"/>
    <w:rsid w:val="00E332EB"/>
    <w:rsid w:val="00E5041D"/>
    <w:rsid w:val="00E50DD8"/>
    <w:rsid w:val="00E53AE4"/>
    <w:rsid w:val="00E70F28"/>
    <w:rsid w:val="00E9107F"/>
    <w:rsid w:val="00EA2008"/>
    <w:rsid w:val="00EA4C1C"/>
    <w:rsid w:val="00EA59DE"/>
    <w:rsid w:val="00EB16FE"/>
    <w:rsid w:val="00EC5179"/>
    <w:rsid w:val="00ED0F57"/>
    <w:rsid w:val="00ED11A3"/>
    <w:rsid w:val="00ED5036"/>
    <w:rsid w:val="00EE3C70"/>
    <w:rsid w:val="00F2642A"/>
    <w:rsid w:val="00F3094E"/>
    <w:rsid w:val="00F61010"/>
    <w:rsid w:val="00F610B4"/>
    <w:rsid w:val="00F8121E"/>
    <w:rsid w:val="00F82544"/>
    <w:rsid w:val="00F85753"/>
    <w:rsid w:val="00FA5445"/>
    <w:rsid w:val="00FB064F"/>
    <w:rsid w:val="00FD0A10"/>
    <w:rsid w:val="00FD0F3D"/>
    <w:rsid w:val="00FD2668"/>
    <w:rsid w:val="00FE43C6"/>
    <w:rsid w:val="00FE7C1E"/>
    <w:rsid w:val="010E38CA"/>
    <w:rsid w:val="018C519F"/>
    <w:rsid w:val="020A1633"/>
    <w:rsid w:val="024B2273"/>
    <w:rsid w:val="028666D1"/>
    <w:rsid w:val="02992638"/>
    <w:rsid w:val="02BB4E65"/>
    <w:rsid w:val="02F711F6"/>
    <w:rsid w:val="03CD2883"/>
    <w:rsid w:val="04131BA8"/>
    <w:rsid w:val="042018CB"/>
    <w:rsid w:val="0443508C"/>
    <w:rsid w:val="04705270"/>
    <w:rsid w:val="04F25509"/>
    <w:rsid w:val="0586165D"/>
    <w:rsid w:val="061C035E"/>
    <w:rsid w:val="06976AC0"/>
    <w:rsid w:val="06CB509E"/>
    <w:rsid w:val="081966C6"/>
    <w:rsid w:val="0850544C"/>
    <w:rsid w:val="08AA67D3"/>
    <w:rsid w:val="08D5132D"/>
    <w:rsid w:val="08FD1DEA"/>
    <w:rsid w:val="097E4A7E"/>
    <w:rsid w:val="0A5E38CB"/>
    <w:rsid w:val="0A870EA3"/>
    <w:rsid w:val="0B292D4A"/>
    <w:rsid w:val="0B66501C"/>
    <w:rsid w:val="0B795E50"/>
    <w:rsid w:val="0BE775A7"/>
    <w:rsid w:val="0CCF6E73"/>
    <w:rsid w:val="0CE20C18"/>
    <w:rsid w:val="0D1D5AF1"/>
    <w:rsid w:val="0DAD6FD6"/>
    <w:rsid w:val="0E4D1AFB"/>
    <w:rsid w:val="0F1771EB"/>
    <w:rsid w:val="0F331350"/>
    <w:rsid w:val="0FD403F2"/>
    <w:rsid w:val="105B7414"/>
    <w:rsid w:val="107B2FAF"/>
    <w:rsid w:val="108856CC"/>
    <w:rsid w:val="108E12A6"/>
    <w:rsid w:val="10953945"/>
    <w:rsid w:val="10CE5534"/>
    <w:rsid w:val="11061165"/>
    <w:rsid w:val="119C6CF9"/>
    <w:rsid w:val="11AA1DA0"/>
    <w:rsid w:val="11DE24EC"/>
    <w:rsid w:val="11E95659"/>
    <w:rsid w:val="12D6271E"/>
    <w:rsid w:val="13021765"/>
    <w:rsid w:val="13516172"/>
    <w:rsid w:val="13723DB8"/>
    <w:rsid w:val="13AC55CA"/>
    <w:rsid w:val="13FA0687"/>
    <w:rsid w:val="13FC4543"/>
    <w:rsid w:val="14A423A8"/>
    <w:rsid w:val="15991506"/>
    <w:rsid w:val="16D42F14"/>
    <w:rsid w:val="180B0B11"/>
    <w:rsid w:val="18B25F43"/>
    <w:rsid w:val="18C56163"/>
    <w:rsid w:val="18DE7C94"/>
    <w:rsid w:val="18DF42F7"/>
    <w:rsid w:val="19F7696D"/>
    <w:rsid w:val="1CAE3B76"/>
    <w:rsid w:val="1CC034CE"/>
    <w:rsid w:val="1CF75EB2"/>
    <w:rsid w:val="1D0A0015"/>
    <w:rsid w:val="1D992CC6"/>
    <w:rsid w:val="1DA17DCD"/>
    <w:rsid w:val="1DF90ECD"/>
    <w:rsid w:val="1E780B2E"/>
    <w:rsid w:val="1ED00720"/>
    <w:rsid w:val="1EDA17E8"/>
    <w:rsid w:val="1F512658"/>
    <w:rsid w:val="1F64686A"/>
    <w:rsid w:val="20843AD5"/>
    <w:rsid w:val="20BA16CC"/>
    <w:rsid w:val="20D44015"/>
    <w:rsid w:val="21142EBD"/>
    <w:rsid w:val="21721AE8"/>
    <w:rsid w:val="22236C35"/>
    <w:rsid w:val="223B3BF3"/>
    <w:rsid w:val="22FE0254"/>
    <w:rsid w:val="23CC7C84"/>
    <w:rsid w:val="24925A56"/>
    <w:rsid w:val="24CC7EED"/>
    <w:rsid w:val="253073B6"/>
    <w:rsid w:val="257556C4"/>
    <w:rsid w:val="25BD442C"/>
    <w:rsid w:val="25C218A4"/>
    <w:rsid w:val="260E2071"/>
    <w:rsid w:val="261A0199"/>
    <w:rsid w:val="2649701C"/>
    <w:rsid w:val="283E4409"/>
    <w:rsid w:val="28CA58CB"/>
    <w:rsid w:val="29DF703A"/>
    <w:rsid w:val="29E57B06"/>
    <w:rsid w:val="2ABF1892"/>
    <w:rsid w:val="2C4D184B"/>
    <w:rsid w:val="2C725C4B"/>
    <w:rsid w:val="2CA00DBD"/>
    <w:rsid w:val="2CC47639"/>
    <w:rsid w:val="2CC95402"/>
    <w:rsid w:val="2D1265F1"/>
    <w:rsid w:val="2E4A4884"/>
    <w:rsid w:val="2EA20CED"/>
    <w:rsid w:val="2EDA313F"/>
    <w:rsid w:val="2F1C53F4"/>
    <w:rsid w:val="2F4078D2"/>
    <w:rsid w:val="307D1FD3"/>
    <w:rsid w:val="30F73B34"/>
    <w:rsid w:val="30F94190"/>
    <w:rsid w:val="31DB6103"/>
    <w:rsid w:val="32433CC9"/>
    <w:rsid w:val="327968AF"/>
    <w:rsid w:val="32FC602E"/>
    <w:rsid w:val="32FD00F5"/>
    <w:rsid w:val="33146508"/>
    <w:rsid w:val="335273DC"/>
    <w:rsid w:val="33993129"/>
    <w:rsid w:val="339E3C4F"/>
    <w:rsid w:val="33FC76B3"/>
    <w:rsid w:val="3463198D"/>
    <w:rsid w:val="34E11356"/>
    <w:rsid w:val="358B6F41"/>
    <w:rsid w:val="35A244BB"/>
    <w:rsid w:val="38A46FA2"/>
    <w:rsid w:val="393C6ED0"/>
    <w:rsid w:val="3A114359"/>
    <w:rsid w:val="3A392B17"/>
    <w:rsid w:val="3B222EF2"/>
    <w:rsid w:val="3B9C403A"/>
    <w:rsid w:val="3BD10196"/>
    <w:rsid w:val="3C027831"/>
    <w:rsid w:val="3C0E2679"/>
    <w:rsid w:val="3C0F313B"/>
    <w:rsid w:val="3CE42DA6"/>
    <w:rsid w:val="3E0B6E71"/>
    <w:rsid w:val="3E222160"/>
    <w:rsid w:val="3E6A1A4D"/>
    <w:rsid w:val="3E7E5894"/>
    <w:rsid w:val="3EBA1664"/>
    <w:rsid w:val="3EC51715"/>
    <w:rsid w:val="3EFE7CC5"/>
    <w:rsid w:val="3F433EF7"/>
    <w:rsid w:val="3FB05E43"/>
    <w:rsid w:val="3FB12A63"/>
    <w:rsid w:val="40184151"/>
    <w:rsid w:val="41796553"/>
    <w:rsid w:val="41AA73B8"/>
    <w:rsid w:val="41CA25A4"/>
    <w:rsid w:val="42164E9F"/>
    <w:rsid w:val="42C97751"/>
    <w:rsid w:val="430E4C60"/>
    <w:rsid w:val="430F3F41"/>
    <w:rsid w:val="4375426A"/>
    <w:rsid w:val="43B0245B"/>
    <w:rsid w:val="44515073"/>
    <w:rsid w:val="448C0209"/>
    <w:rsid w:val="44B57B36"/>
    <w:rsid w:val="44E10F01"/>
    <w:rsid w:val="44E45F67"/>
    <w:rsid w:val="458F0D0A"/>
    <w:rsid w:val="45F10722"/>
    <w:rsid w:val="462E1B67"/>
    <w:rsid w:val="46794B93"/>
    <w:rsid w:val="46AB7E58"/>
    <w:rsid w:val="47483252"/>
    <w:rsid w:val="4873185F"/>
    <w:rsid w:val="48E44F13"/>
    <w:rsid w:val="49722CD5"/>
    <w:rsid w:val="49855FBF"/>
    <w:rsid w:val="4A1B43D0"/>
    <w:rsid w:val="4A657908"/>
    <w:rsid w:val="4B812D2C"/>
    <w:rsid w:val="4CD34FFD"/>
    <w:rsid w:val="4CDA44B5"/>
    <w:rsid w:val="4D3C7046"/>
    <w:rsid w:val="4D435139"/>
    <w:rsid w:val="4DC222F7"/>
    <w:rsid w:val="4DC64D3A"/>
    <w:rsid w:val="4F1D07B2"/>
    <w:rsid w:val="4F610FE6"/>
    <w:rsid w:val="4F7F075A"/>
    <w:rsid w:val="4FDA4C4B"/>
    <w:rsid w:val="503C70AB"/>
    <w:rsid w:val="516C3C72"/>
    <w:rsid w:val="51D35A9F"/>
    <w:rsid w:val="52040E65"/>
    <w:rsid w:val="5244653C"/>
    <w:rsid w:val="52467874"/>
    <w:rsid w:val="54267631"/>
    <w:rsid w:val="542C4FC6"/>
    <w:rsid w:val="54AE799E"/>
    <w:rsid w:val="54BC66B5"/>
    <w:rsid w:val="54BE40A4"/>
    <w:rsid w:val="55287152"/>
    <w:rsid w:val="552D00C3"/>
    <w:rsid w:val="56377FE5"/>
    <w:rsid w:val="56DE116E"/>
    <w:rsid w:val="574A6804"/>
    <w:rsid w:val="57E842D2"/>
    <w:rsid w:val="58A12D19"/>
    <w:rsid w:val="58D55094"/>
    <w:rsid w:val="58DA487B"/>
    <w:rsid w:val="590F1AB3"/>
    <w:rsid w:val="595F2A8B"/>
    <w:rsid w:val="59C86EA5"/>
    <w:rsid w:val="5A2E7E24"/>
    <w:rsid w:val="5ADF1011"/>
    <w:rsid w:val="5B7F77BF"/>
    <w:rsid w:val="5BF02B01"/>
    <w:rsid w:val="5C072A46"/>
    <w:rsid w:val="5C0C1EB0"/>
    <w:rsid w:val="5C7255B7"/>
    <w:rsid w:val="5E296536"/>
    <w:rsid w:val="5E2C6C63"/>
    <w:rsid w:val="5E8343A9"/>
    <w:rsid w:val="5EF83C69"/>
    <w:rsid w:val="5F0B4F95"/>
    <w:rsid w:val="5F657738"/>
    <w:rsid w:val="5F8040E7"/>
    <w:rsid w:val="602A72B4"/>
    <w:rsid w:val="61F12CCE"/>
    <w:rsid w:val="61FB79A7"/>
    <w:rsid w:val="63284F69"/>
    <w:rsid w:val="633F7E5F"/>
    <w:rsid w:val="636D06CC"/>
    <w:rsid w:val="63DD3343"/>
    <w:rsid w:val="648F3BB6"/>
    <w:rsid w:val="64D418D1"/>
    <w:rsid w:val="662A7F2C"/>
    <w:rsid w:val="668A64B8"/>
    <w:rsid w:val="66DF594B"/>
    <w:rsid w:val="67BE406A"/>
    <w:rsid w:val="67C0170A"/>
    <w:rsid w:val="68C06926"/>
    <w:rsid w:val="690F3409"/>
    <w:rsid w:val="69205B2A"/>
    <w:rsid w:val="693D620F"/>
    <w:rsid w:val="69943637"/>
    <w:rsid w:val="69CC7D03"/>
    <w:rsid w:val="6A1264E4"/>
    <w:rsid w:val="6A4C5ABA"/>
    <w:rsid w:val="6AC83870"/>
    <w:rsid w:val="6C2E6C8D"/>
    <w:rsid w:val="6C9263C5"/>
    <w:rsid w:val="6C97799E"/>
    <w:rsid w:val="6CD8550B"/>
    <w:rsid w:val="6D2F205C"/>
    <w:rsid w:val="6D335031"/>
    <w:rsid w:val="6D6D45AC"/>
    <w:rsid w:val="6DC9412D"/>
    <w:rsid w:val="6E076DA5"/>
    <w:rsid w:val="6EF72976"/>
    <w:rsid w:val="6F6B73CE"/>
    <w:rsid w:val="6F945B79"/>
    <w:rsid w:val="7088296E"/>
    <w:rsid w:val="71594C79"/>
    <w:rsid w:val="71720F5D"/>
    <w:rsid w:val="71BA1B72"/>
    <w:rsid w:val="72331397"/>
    <w:rsid w:val="72620EE9"/>
    <w:rsid w:val="72AF05C3"/>
    <w:rsid w:val="72D059B7"/>
    <w:rsid w:val="73094D03"/>
    <w:rsid w:val="730B4C41"/>
    <w:rsid w:val="732D0A58"/>
    <w:rsid w:val="73503233"/>
    <w:rsid w:val="73972979"/>
    <w:rsid w:val="73E27779"/>
    <w:rsid w:val="73E71C9C"/>
    <w:rsid w:val="7406442C"/>
    <w:rsid w:val="74DA0D6F"/>
    <w:rsid w:val="750D2A1A"/>
    <w:rsid w:val="76053BCA"/>
    <w:rsid w:val="763149BF"/>
    <w:rsid w:val="766224A6"/>
    <w:rsid w:val="76C46C07"/>
    <w:rsid w:val="76C62387"/>
    <w:rsid w:val="775D3592"/>
    <w:rsid w:val="77894387"/>
    <w:rsid w:val="78237172"/>
    <w:rsid w:val="79660B64"/>
    <w:rsid w:val="7A095152"/>
    <w:rsid w:val="7A440A39"/>
    <w:rsid w:val="7AC20045"/>
    <w:rsid w:val="7B302B09"/>
    <w:rsid w:val="7B914E57"/>
    <w:rsid w:val="7B963A19"/>
    <w:rsid w:val="7C532F85"/>
    <w:rsid w:val="7C8804DD"/>
    <w:rsid w:val="7DCF4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lang w:val="en-US" w:eastAsia="zh-CN" w:bidi="ar-SA"/>
    </w:rPr>
  </w:style>
  <w:style w:type="paragraph" w:styleId="2">
    <w:name w:val="heading 1"/>
    <w:basedOn w:val="1"/>
    <w:next w:val="1"/>
    <w:qFormat/>
    <w:uiPriority w:val="0"/>
    <w:pPr>
      <w:keepNext/>
      <w:keepLines/>
      <w:tabs>
        <w:tab w:val="left" w:pos="420"/>
      </w:tabs>
      <w:adjustRightInd w:val="0"/>
      <w:spacing w:before="50" w:beforeLines="50" w:after="50" w:afterLines="50" w:line="480" w:lineRule="exact"/>
      <w:ind w:left="720" w:hanging="720"/>
      <w:jc w:val="left"/>
      <w:textAlignment w:val="baseline"/>
      <w:outlineLvl w:val="0"/>
    </w:pPr>
    <w:rPr>
      <w:b/>
      <w:kern w:val="44"/>
      <w:sz w:val="32"/>
      <w:szCs w:val="28"/>
    </w:rPr>
  </w:style>
  <w:style w:type="paragraph" w:styleId="3">
    <w:name w:val="heading 2"/>
    <w:basedOn w:val="1"/>
    <w:next w:val="4"/>
    <w:qFormat/>
    <w:uiPriority w:val="0"/>
    <w:pPr>
      <w:keepNext/>
      <w:keepLines/>
      <w:tabs>
        <w:tab w:val="left" w:pos="420"/>
      </w:tabs>
      <w:adjustRightInd w:val="0"/>
      <w:spacing w:before="50" w:beforeLines="50" w:after="50" w:afterLines="50" w:line="480" w:lineRule="exact"/>
      <w:jc w:val="left"/>
      <w:textAlignment w:val="baseline"/>
      <w:outlineLvl w:val="1"/>
    </w:pPr>
    <w:rPr>
      <w:rFonts w:ascii="宋体" w:hAnsi="宋体"/>
      <w:b/>
      <w:kern w:val="10"/>
      <w:szCs w:val="28"/>
    </w:rPr>
  </w:style>
  <w:style w:type="paragraph" w:styleId="5">
    <w:name w:val="heading 3"/>
    <w:basedOn w:val="1"/>
    <w:next w:val="1"/>
    <w:unhideWhenUsed/>
    <w:qFormat/>
    <w:uiPriority w:val="0"/>
    <w:pPr>
      <w:keepNext/>
      <w:keepLines/>
      <w:spacing w:before="260" w:after="260" w:line="413" w:lineRule="auto"/>
      <w:outlineLvl w:val="2"/>
    </w:pPr>
    <w:rPr>
      <w:rFonts w:ascii="宋体" w:hAnsi="宋体"/>
      <w:b/>
      <w:sz w:val="24"/>
    </w:rPr>
  </w:style>
  <w:style w:type="paragraph" w:styleId="6">
    <w:name w:val="heading 4"/>
    <w:basedOn w:val="1"/>
    <w:next w:val="1"/>
    <w:unhideWhenUsed/>
    <w:qFormat/>
    <w:uiPriority w:val="0"/>
    <w:pPr>
      <w:keepNext/>
      <w:keepLines/>
      <w:spacing w:before="280" w:after="290" w:line="372" w:lineRule="auto"/>
      <w:outlineLvl w:val="3"/>
    </w:pPr>
    <w:rPr>
      <w:rFonts w:ascii="宋体" w:hAnsi="宋体"/>
      <w:sz w:val="24"/>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4">
    <w:name w:val="Normal Indent"/>
    <w:basedOn w:val="1"/>
    <w:semiHidden/>
    <w:unhideWhenUsed/>
    <w:qFormat/>
    <w:uiPriority w:val="99"/>
    <w:pPr>
      <w:ind w:firstLine="420" w:firstLineChars="200"/>
    </w:pPr>
  </w:style>
  <w:style w:type="paragraph" w:styleId="7">
    <w:name w:val="annotation text"/>
    <w:basedOn w:val="1"/>
    <w:link w:val="39"/>
    <w:qFormat/>
    <w:uiPriority w:val="99"/>
    <w:pPr>
      <w:jc w:val="left"/>
    </w:pPr>
  </w:style>
  <w:style w:type="paragraph" w:styleId="8">
    <w:name w:val="Body Text"/>
    <w:basedOn w:val="1"/>
    <w:next w:val="9"/>
    <w:unhideWhenUsed/>
    <w:qFormat/>
    <w:uiPriority w:val="0"/>
    <w:pPr>
      <w:spacing w:after="120"/>
    </w:pPr>
    <w:rPr>
      <w:szCs w:val="24"/>
    </w:r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1">
    <w:name w:val="Balloon Text"/>
    <w:basedOn w:val="1"/>
    <w:link w:val="37"/>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annotation subject"/>
    <w:basedOn w:val="7"/>
    <w:next w:val="7"/>
    <w:link w:val="40"/>
    <w:qFormat/>
    <w:uiPriority w:val="0"/>
    <w:rPr>
      <w:b/>
      <w:bCs/>
    </w:rPr>
  </w:style>
  <w:style w:type="table" w:styleId="19">
    <w:name w:val="Table Grid"/>
    <w:basedOn w:val="1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unhideWhenUsed/>
    <w:qFormat/>
    <w:uiPriority w:val="99"/>
    <w:rPr>
      <w:color w:val="0563C1" w:themeColor="hyperlink"/>
      <w:u w:val="single"/>
      <w14:textFill>
        <w14:solidFill>
          <w14:schemeClr w14:val="hlink"/>
        </w14:solidFill>
      </w14:textFill>
    </w:rPr>
  </w:style>
  <w:style w:type="character" w:styleId="23">
    <w:name w:val="annotation reference"/>
    <w:basedOn w:val="20"/>
    <w:qFormat/>
    <w:uiPriority w:val="99"/>
    <w:rPr>
      <w:sz w:val="21"/>
      <w:szCs w:val="21"/>
    </w:rPr>
  </w:style>
  <w:style w:type="paragraph" w:customStyle="1" w:styleId="24">
    <w:name w:val="TOC1"/>
    <w:basedOn w:val="1"/>
    <w:next w:val="1"/>
    <w:qFormat/>
    <w:uiPriority w:val="99"/>
    <w:pPr>
      <w:tabs>
        <w:tab w:val="center" w:pos="0"/>
        <w:tab w:val="center" w:pos="560"/>
        <w:tab w:val="center" w:pos="6804"/>
        <w:tab w:val="right" w:pos="7371"/>
      </w:tabs>
    </w:pPr>
  </w:style>
  <w:style w:type="paragraph" w:customStyle="1" w:styleId="25">
    <w:name w:val="TOC 标题1"/>
    <w:basedOn w:val="2"/>
    <w:next w:val="1"/>
    <w:unhideWhenUsed/>
    <w:qFormat/>
    <w:uiPriority w:val="39"/>
    <w:pPr>
      <w:widowControl/>
      <w:tabs>
        <w:tab w:val="clear" w:pos="420"/>
      </w:tabs>
      <w:adjustRightInd/>
      <w:spacing w:before="240" w:beforeLines="0" w:after="0" w:afterLines="0" w:line="259" w:lineRule="auto"/>
      <w:ind w:left="0" w:firstLine="0"/>
      <w:textAlignment w:val="auto"/>
      <w:outlineLvl w:val="9"/>
    </w:pPr>
    <w:rPr>
      <w:rFonts w:asciiTheme="majorHAnsi" w:hAnsiTheme="majorHAnsi" w:eastAsiaTheme="majorEastAsia" w:cstheme="majorBidi"/>
      <w:b w:val="0"/>
      <w:color w:val="2E75B6" w:themeColor="accent1" w:themeShade="BF"/>
      <w:kern w:val="0"/>
      <w:szCs w:val="32"/>
    </w:rPr>
  </w:style>
  <w:style w:type="paragraph" w:customStyle="1" w:styleId="2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标准文件_术语条一"/>
    <w:basedOn w:val="28"/>
    <w:next w:val="26"/>
    <w:qFormat/>
    <w:uiPriority w:val="0"/>
    <w:pPr>
      <w:numPr>
        <w:numId w:val="1"/>
      </w:numPr>
    </w:pPr>
  </w:style>
  <w:style w:type="paragraph" w:customStyle="1" w:styleId="28">
    <w:name w:val="标准文件_一级无标题"/>
    <w:basedOn w:val="29"/>
    <w:qFormat/>
    <w:uiPriority w:val="0"/>
    <w:pPr>
      <w:spacing w:before="0" w:beforeLines="0" w:after="0" w:afterLines="0"/>
      <w:outlineLvl w:val="9"/>
    </w:pPr>
    <w:rPr>
      <w:rFonts w:ascii="宋体" w:eastAsia="宋体"/>
    </w:rPr>
  </w:style>
  <w:style w:type="paragraph" w:customStyle="1" w:styleId="29">
    <w:name w:val="标准文件_一级条标题"/>
    <w:basedOn w:val="30"/>
    <w:next w:val="26"/>
    <w:qFormat/>
    <w:uiPriority w:val="0"/>
    <w:pPr>
      <w:numPr>
        <w:ilvl w:val="2"/>
      </w:numPr>
      <w:spacing w:before="50" w:beforeLines="50" w:after="50" w:afterLines="50"/>
      <w:outlineLvl w:val="1"/>
    </w:pPr>
  </w:style>
  <w:style w:type="paragraph" w:customStyle="1" w:styleId="30">
    <w:name w:val="标准文件_章标题"/>
    <w:next w:val="2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31">
    <w:name w:val="章标题"/>
    <w:next w:val="1"/>
    <w:qFormat/>
    <w:uiPriority w:val="0"/>
    <w:pPr>
      <w:spacing w:beforeLines="100" w:afterLines="100"/>
      <w:jc w:val="both"/>
      <w:outlineLvl w:val="1"/>
    </w:pPr>
    <w:rPr>
      <w:rFonts w:ascii="黑体" w:hAnsi="Times New Roman" w:eastAsia="黑体" w:cs="Times New Roman"/>
      <w:sz w:val="21"/>
      <w:lang w:val="en-US" w:eastAsia="zh-CN" w:bidi="ar-SA"/>
    </w:rPr>
  </w:style>
  <w:style w:type="character" w:customStyle="1" w:styleId="32">
    <w:name w:val="fontstyle01"/>
    <w:basedOn w:val="20"/>
    <w:qFormat/>
    <w:uiPriority w:val="0"/>
    <w:rPr>
      <w:rFonts w:hint="eastAsia" w:ascii="宋体" w:hAnsi="宋体" w:eastAsia="宋体"/>
      <w:color w:val="000000"/>
      <w:sz w:val="24"/>
      <w:szCs w:val="24"/>
    </w:rPr>
  </w:style>
  <w:style w:type="table" w:customStyle="1" w:styleId="33">
    <w:name w:val="无格式表格 11"/>
    <w:basedOn w:val="1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34">
    <w:name w:val="标准文件_正文表标题"/>
    <w:basedOn w:val="1"/>
    <w:next w:val="26"/>
    <w:qFormat/>
    <w:uiPriority w:val="0"/>
    <w:pPr>
      <w:widowControl/>
      <w:numPr>
        <w:ilvl w:val="0"/>
        <w:numId w:val="3"/>
      </w:numPr>
      <w:tabs>
        <w:tab w:val="left" w:pos="0"/>
      </w:tabs>
      <w:spacing w:before="50" w:beforeLines="50" w:after="50" w:afterLines="50"/>
      <w:jc w:val="center"/>
    </w:pPr>
    <w:rPr>
      <w:rFonts w:hint="eastAsia" w:ascii="黑体" w:hAnsi="Times New Roman" w:eastAsia="黑体"/>
      <w:kern w:val="0"/>
      <w:sz w:val="21"/>
    </w:rPr>
  </w:style>
  <w:style w:type="paragraph" w:customStyle="1" w:styleId="35">
    <w:name w:val="标准文件_表格"/>
    <w:basedOn w:val="26"/>
    <w:qFormat/>
    <w:uiPriority w:val="0"/>
    <w:pPr>
      <w:jc w:val="center"/>
    </w:pPr>
    <w:rPr>
      <w:rFonts w:hint="eastAsia"/>
      <w:sz w:val="18"/>
    </w:rPr>
  </w:style>
  <w:style w:type="paragraph" w:customStyle="1" w:styleId="36">
    <w:name w:val="列出段落1"/>
    <w:basedOn w:val="1"/>
    <w:qFormat/>
    <w:uiPriority w:val="34"/>
    <w:pPr>
      <w:ind w:firstLine="420" w:firstLineChars="200"/>
    </w:pPr>
  </w:style>
  <w:style w:type="character" w:customStyle="1" w:styleId="37">
    <w:name w:val="批注框文本 字符"/>
    <w:basedOn w:val="20"/>
    <w:link w:val="11"/>
    <w:qFormat/>
    <w:uiPriority w:val="0"/>
    <w:rPr>
      <w:rFonts w:ascii="Calibri" w:hAnsi="Calibri"/>
      <w:kern w:val="2"/>
      <w:sz w:val="18"/>
      <w:szCs w:val="18"/>
    </w:rPr>
  </w:style>
  <w:style w:type="character" w:customStyle="1" w:styleId="38">
    <w:name w:val="页眉 字符"/>
    <w:basedOn w:val="20"/>
    <w:link w:val="13"/>
    <w:qFormat/>
    <w:uiPriority w:val="0"/>
    <w:rPr>
      <w:rFonts w:ascii="Calibri" w:hAnsi="Calibri"/>
      <w:kern w:val="2"/>
      <w:sz w:val="18"/>
      <w:szCs w:val="18"/>
    </w:rPr>
  </w:style>
  <w:style w:type="character" w:customStyle="1" w:styleId="39">
    <w:name w:val="批注文字 字符"/>
    <w:basedOn w:val="20"/>
    <w:link w:val="7"/>
    <w:qFormat/>
    <w:uiPriority w:val="99"/>
    <w:rPr>
      <w:rFonts w:ascii="Calibri" w:hAnsi="Calibri"/>
      <w:kern w:val="2"/>
      <w:sz w:val="28"/>
    </w:rPr>
  </w:style>
  <w:style w:type="character" w:customStyle="1" w:styleId="40">
    <w:name w:val="批注主题 字符"/>
    <w:basedOn w:val="39"/>
    <w:link w:val="17"/>
    <w:qFormat/>
    <w:uiPriority w:val="0"/>
    <w:rPr>
      <w:rFonts w:ascii="Calibri" w:hAnsi="Calibri"/>
      <w:b/>
      <w:bCs/>
      <w:kern w:val="2"/>
      <w:sz w:val="28"/>
    </w:rPr>
  </w:style>
  <w:style w:type="paragraph" w:styleId="41">
    <w:name w:val="List Paragraph"/>
    <w:basedOn w:val="1"/>
    <w:qFormat/>
    <w:uiPriority w:val="34"/>
    <w:pPr>
      <w:ind w:firstLine="420" w:firstLineChars="200"/>
    </w:pPr>
  </w:style>
  <w:style w:type="table" w:customStyle="1" w:styleId="42">
    <w:name w:val="无格式表格 12"/>
    <w:basedOn w:val="1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43">
    <w:name w:val="TOC 标题2"/>
    <w:basedOn w:val="2"/>
    <w:next w:val="1"/>
    <w:unhideWhenUsed/>
    <w:qFormat/>
    <w:uiPriority w:val="39"/>
    <w:pPr>
      <w:widowControl/>
      <w:tabs>
        <w:tab w:val="clear" w:pos="420"/>
      </w:tabs>
      <w:adjustRightInd/>
      <w:spacing w:before="240" w:beforeLines="0" w:after="0" w:afterLines="0" w:line="259" w:lineRule="auto"/>
      <w:ind w:left="0" w:firstLine="0"/>
      <w:textAlignment w:val="auto"/>
      <w:outlineLvl w:val="9"/>
    </w:pPr>
    <w:rPr>
      <w:rFonts w:asciiTheme="majorHAnsi" w:hAnsiTheme="majorHAnsi" w:eastAsiaTheme="majorEastAsia" w:cstheme="majorBidi"/>
      <w:b w:val="0"/>
      <w:color w:val="2E75B6" w:themeColor="accent1" w:themeShade="BF"/>
      <w:kern w:val="0"/>
      <w:szCs w:val="32"/>
    </w:rPr>
  </w:style>
  <w:style w:type="paragraph" w:customStyle="1" w:styleId="44">
    <w:name w:val="标准文件_文件名称"/>
    <w:basedOn w:val="26"/>
    <w:next w:val="26"/>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character" w:customStyle="1" w:styleId="45">
    <w:name w:val="font11"/>
    <w:basedOn w:val="20"/>
    <w:qFormat/>
    <w:uiPriority w:val="0"/>
    <w:rPr>
      <w:rFonts w:hint="eastAsia" w:ascii="宋体" w:hAnsi="宋体" w:eastAsia="宋体" w:cs="宋体"/>
      <w:color w:val="000000"/>
      <w:sz w:val="18"/>
      <w:szCs w:val="18"/>
      <w:u w:val="none"/>
    </w:rPr>
  </w:style>
  <w:style w:type="character" w:customStyle="1" w:styleId="46">
    <w:name w:val="font31"/>
    <w:basedOn w:val="20"/>
    <w:qFormat/>
    <w:uiPriority w:val="0"/>
    <w:rPr>
      <w:rFonts w:hint="eastAsia" w:ascii="宋体" w:hAnsi="宋体" w:eastAsia="宋体" w:cs="宋体"/>
      <w:color w:val="000000"/>
      <w:sz w:val="21"/>
      <w:szCs w:val="21"/>
      <w:u w:val="none"/>
      <w:vertAlign w:val="superscript"/>
    </w:rPr>
  </w:style>
  <w:style w:type="paragraph" w:customStyle="1" w:styleId="47">
    <w:name w:val="正文4"/>
    <w:qFormat/>
    <w:uiPriority w:val="0"/>
    <w:pPr>
      <w:jc w:val="both"/>
    </w:pPr>
    <w:rPr>
      <w:rFonts w:ascii="Times New Roman" w:hAnsi="Times New Roman" w:eastAsia="宋体" w:cs="Times New Roman"/>
      <w:kern w:val="2"/>
      <w:sz w:val="21"/>
      <w:szCs w:val="21"/>
      <w:lang w:val="en-US" w:eastAsia="zh-CN" w:bidi="ar-SA"/>
    </w:rPr>
  </w:style>
  <w:style w:type="table" w:customStyle="1" w:styleId="48">
    <w:name w:val="无格式表格 13"/>
    <w:basedOn w:val="1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49">
    <w:name w:val="WPSOffice手动目录 1"/>
    <w:qFormat/>
    <w:uiPriority w:val="0"/>
    <w:rPr>
      <w:rFonts w:ascii="Times New Roman" w:hAnsi="Times New Roman" w:eastAsia="宋体" w:cs="Times New Roman"/>
      <w:lang w:val="en-US" w:eastAsia="zh-CN" w:bidi="ar-SA"/>
    </w:rPr>
  </w:style>
  <w:style w:type="paragraph" w:customStyle="1" w:styleId="5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2">
    <w:name w:val="修订1"/>
    <w:hidden/>
    <w:unhideWhenUsed/>
    <w:qFormat/>
    <w:uiPriority w:val="99"/>
    <w:rPr>
      <w:rFonts w:ascii="Calibri" w:hAnsi="Calibri" w:eastAsia="宋体" w:cs="Times New Roman"/>
      <w:kern w:val="2"/>
      <w:sz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37D668-9D9D-4DB8-AD59-EB75EA4019EB}">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1579</Words>
  <Characters>9006</Characters>
  <Lines>75</Lines>
  <Paragraphs>21</Paragraphs>
  <TotalTime>1</TotalTime>
  <ScaleCrop>false</ScaleCrop>
  <LinksUpToDate>false</LinksUpToDate>
  <CharactersWithSpaces>10564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2023-12-01T08:05:00Z</dcterms:created>
  <dc:creator>木笔</dc:creator>
  <cp:lastModifiedBy>王多多</cp:lastModifiedBy>
  <cp:lastPrinted>2023-03-06T09:07:00Z</cp:lastPrinted>
  <dcterms:modified xsi:type="dcterms:W3CDTF">2023-12-21T05:47:52Z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4FF64FFA29C34511AC33A91393CC58C2_13</vt:lpwstr>
  </property>
</Properties>
</file>