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line="240" w:lineRule="auto"/>
              <w:jc w:val="both"/>
              <w:rPr>
                <w:rFonts w:ascii="黑体" w:hAnsi="黑体" w:eastAsia="黑体"/>
                <w:sz w:val="21"/>
                <w:szCs w:val="21"/>
              </w:rPr>
            </w:pPr>
            <w:r>
              <w:rPr>
                <w:rFonts w:hint="eastAsia" w:ascii="黑体" w:hAnsi="黑体" w:eastAsia="黑体"/>
                <w:sz w:val="21"/>
                <w:szCs w:val="21"/>
              </w:rPr>
              <w:t>13.030.40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9"/>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777" w:hRule="exact"/>
              </w:trPr>
              <w:tc>
                <w:tcPr>
                  <w:tcW w:w="9242" w:type="dxa"/>
                  <w:vAlign w:val="center"/>
                </w:tcPr>
                <w:p>
                  <w:pPr>
                    <w:pStyle w:val="51"/>
                    <w:framePr w:wrap="notBeside" w:vAnchor="page" w:hAnchor="page" w:x="1372" w:y="568"/>
                    <w:ind w:left="420" w:right="624"/>
                    <w:rPr>
                      <w:rFonts w:ascii="宋体" w:hAnsi="宋体"/>
                      <w:sz w:val="28"/>
                      <w:szCs w:val="28"/>
                    </w:rPr>
                  </w:pPr>
                </w:p>
              </w:tc>
            </w:tr>
          </w:tbl>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Z05</w:t>
            </w:r>
          </w:p>
        </w:tc>
      </w:tr>
    </w:tbl>
    <w:p>
      <w:pPr>
        <w:pStyle w:val="52"/>
        <w:framePr w:w="9639" w:h="835" w:hRule="exact" w:hSpace="181" w:vSpace="181" w:wrap="around" w:hAnchor="page" w:x="1238" w:y="2058"/>
        <w:rPr>
          <w:rFonts w:ascii="黑体" w:hAnsi="黑体" w:eastAsia="黑体"/>
          <w:b w:val="0"/>
          <w:bCs w:val="0"/>
          <w:w w:val="100"/>
          <w:sz w:val="72"/>
          <w:szCs w:val="72"/>
        </w:rPr>
      </w:pPr>
      <w:bookmarkStart w:id="0" w:name="_Hlk26473981"/>
      <w:r>
        <w:rPr>
          <w:rFonts w:hint="eastAsia" w:ascii="黑体" w:eastAsia="黑体"/>
          <w:b w:val="0"/>
          <w:w w:val="100"/>
          <w:sz w:val="72"/>
          <w:szCs w:val="24"/>
        </w:rPr>
        <w:t>团体</w:t>
      </w:r>
      <w:r>
        <w:rPr>
          <w:rFonts w:hint="eastAsia" w:ascii="黑体" w:hAnsi="黑体" w:eastAsia="黑体"/>
          <w:b w:val="0"/>
          <w:bCs w:val="0"/>
          <w:w w:val="100"/>
          <w:sz w:val="72"/>
          <w:szCs w:val="72"/>
        </w:rPr>
        <w:t>标准</w:t>
      </w:r>
    </w:p>
    <w:bookmarkEnd w:id="0"/>
    <w:p>
      <w:pPr>
        <w:pStyle w:val="197"/>
        <w:framePr/>
      </w:pPr>
      <w:r>
        <w:t>T/</w:t>
      </w:r>
      <w:r>
        <w:fldChar w:fldCharType="begin">
          <w:ffData>
            <w:name w:val="文字1"/>
            <w:enabled/>
            <w:calcOnExit w:val="0"/>
            <w:textInput>
              <w:default w:val="XXX"/>
            </w:textInput>
          </w:ffData>
        </w:fldChar>
      </w:r>
      <w:bookmarkStart w:id="1" w:name="文字1"/>
      <w:r>
        <w:instrText xml:space="preserve"> FORMTEXT </w:instrText>
      </w:r>
      <w:r>
        <w:fldChar w:fldCharType="separate"/>
      </w:r>
      <w:r>
        <w:rPr>
          <w:rFonts w:hint="eastAsia"/>
        </w:rPr>
        <w:t>NEEPA</w:t>
      </w:r>
      <w:r>
        <w:fldChar w:fldCharType="end"/>
      </w:r>
      <w:bookmarkEnd w:id="1"/>
      <w:r>
        <w:t xml:space="preserve"> </w:t>
      </w:r>
      <w:r>
        <w:fldChar w:fldCharType="begin">
          <w:ffData>
            <w:name w:val="NSTD_CODE_F"/>
            <w:enabled/>
            <w:calcOnExit w:val="0"/>
            <w:textInput>
              <w:default w:val="XXXX"/>
            </w:textInput>
          </w:ffData>
        </w:fldChar>
      </w:r>
      <w:bookmarkStart w:id="2" w:name="NSTD_CODE_F"/>
      <w:r>
        <w:instrText xml:space="preserve"> FORMTEXT </w:instrText>
      </w:r>
      <w:r>
        <w:fldChar w:fldCharType="separate"/>
      </w:r>
      <w:r>
        <w:t>XXXX</w:t>
      </w:r>
      <w:r>
        <w:fldChar w:fldCharType="end"/>
      </w:r>
      <w:bookmarkEnd w:id="2"/>
      <w:r>
        <w:rPr>
          <w:rFonts w:hAnsi="黑体"/>
        </w:rPr>
        <w:t>—</w:t>
      </w:r>
      <w:r>
        <w:fldChar w:fldCharType="begin">
          <w:ffData>
            <w:name w:val="NSTD_CODE_B"/>
            <w:enabled/>
            <w:calcOnExit w:val="0"/>
            <w:textInput>
              <w:default w:val="XXXX"/>
            </w:textInput>
          </w:ffData>
        </w:fldChar>
      </w:r>
      <w:bookmarkStart w:id="3" w:name="NSTD_CODE_B"/>
      <w:r>
        <w:instrText xml:space="preserve"> FORMTEXT </w:instrText>
      </w:r>
      <w:r>
        <w:fldChar w:fldCharType="separate"/>
      </w:r>
      <w:r>
        <w:rPr>
          <w:rFonts w:hint="eastAsia"/>
        </w:rPr>
        <w:t>2023</w:t>
      </w:r>
      <w:r>
        <w:fldChar w:fldCharType="end"/>
      </w:r>
      <w:bookmarkEnd w:id="3"/>
    </w:p>
    <w:p>
      <w:pPr>
        <w:pStyle w:val="198"/>
        <w:framePr/>
        <w:rPr>
          <w:rFonts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4"/>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pPr>
        <w:pStyle w:val="52"/>
        <w:framePr w:w="9639" w:h="6976" w:hRule="exact" w:hSpace="0" w:vSpace="0" w:wrap="around" w:hAnchor="page" w:y="6408"/>
        <w:jc w:val="center"/>
        <w:rPr>
          <w:rFonts w:ascii="黑体" w:hAnsi="黑体" w:eastAsia="黑体"/>
          <w:b w:val="0"/>
          <w:bCs w:val="0"/>
          <w:w w:val="100"/>
        </w:rPr>
      </w:pPr>
    </w:p>
    <w:p>
      <w:pPr>
        <w:pStyle w:val="199"/>
        <w:framePr w:h="6974" w:hRule="exact" w:wrap="around" w:x="1419" w:anchorLock="1"/>
      </w:pPr>
      <w:r>
        <w:fldChar w:fldCharType="begin">
          <w:ffData>
            <w:name w:val="CSTD_NAME"/>
            <w:enabled/>
            <w:calcOnExit w:val="0"/>
            <w:textInput>
              <w:default w:val="点击此处添加标准名称"/>
            </w:textInput>
          </w:ffData>
        </w:fldChar>
      </w:r>
      <w:bookmarkStart w:id="5" w:name="CSTD_NAME"/>
      <w:r>
        <w:instrText xml:space="preserve"> FORMTEXT </w:instrText>
      </w:r>
      <w:r>
        <w:fldChar w:fldCharType="separate"/>
      </w:r>
      <w:r>
        <w:t>煤气净化废气治理工程设计规范</w:t>
      </w:r>
      <w:r>
        <w:fldChar w:fldCharType="end"/>
      </w:r>
      <w:bookmarkEnd w:id="5"/>
    </w:p>
    <w:p>
      <w:pPr>
        <w:framePr w:w="9639" w:h="6974" w:hRule="exact" w:wrap="around" w:vAnchor="page" w:hAnchor="page" w:x="1419" w:y="6408" w:anchorLock="1"/>
        <w:ind w:left="-1418"/>
      </w:pPr>
    </w:p>
    <w:p>
      <w:pPr>
        <w:pStyle w:val="127"/>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6" w:name="ESTD_NAME"/>
      <w:r>
        <w:rPr>
          <w:rFonts w:eastAsia="黑体"/>
          <w:szCs w:val="28"/>
        </w:rPr>
        <w:instrText xml:space="preserve"> FORMTEXT </w:instrText>
      </w:r>
      <w:r>
        <w:rPr>
          <w:rFonts w:eastAsia="黑体"/>
          <w:szCs w:val="28"/>
        </w:rPr>
        <w:fldChar w:fldCharType="separate"/>
      </w:r>
      <w:r>
        <w:rPr>
          <w:rFonts w:eastAsia="黑体"/>
          <w:szCs w:val="28"/>
        </w:rPr>
        <w:t>Design specifications for waste gas treatment of coal gas purification     </w:t>
      </w:r>
      <w:r>
        <w:rPr>
          <w:rFonts w:eastAsia="黑体"/>
          <w:szCs w:val="28"/>
        </w:rPr>
        <w:fldChar w:fldCharType="end"/>
      </w:r>
      <w:bookmarkEnd w:id="6"/>
    </w:p>
    <w:p>
      <w:pPr>
        <w:framePr w:w="9639" w:h="6974" w:hRule="exact" w:wrap="around" w:vAnchor="page" w:hAnchor="page" w:x="1419" w:y="6408" w:anchorLock="1"/>
        <w:spacing w:line="760" w:lineRule="exact"/>
        <w:ind w:left="-1418"/>
      </w:pPr>
    </w:p>
    <w:p>
      <w:pPr>
        <w:pStyle w:val="127"/>
        <w:framePr w:w="9639" w:h="6974" w:hRule="exact" w:wrap="around" w:vAnchor="page" w:hAnchor="page" w:x="1419" w:y="6408" w:anchorLock="1"/>
        <w:textAlignment w:val="bottom"/>
        <w:rPr>
          <w:rFonts w:eastAsia="黑体"/>
          <w:szCs w:val="28"/>
        </w:rPr>
      </w:pPr>
    </w:p>
    <w:p>
      <w:pPr>
        <w:pStyle w:val="127"/>
        <w:framePr w:w="9639" w:h="6974" w:hRule="exact" w:wrap="around" w:vAnchor="page" w:hAnchor="page" w:x="1419" w:y="6408" w:anchorLock="1"/>
        <w:spacing w:before="440" w:after="160"/>
        <w:textAlignment w:val="bottom"/>
        <w:rPr>
          <w:sz w:val="24"/>
          <w:szCs w:val="28"/>
        </w:rPr>
      </w:pPr>
      <w:r>
        <w:rPr>
          <w:sz w:val="24"/>
          <w:szCs w:val="28"/>
        </w:rPr>
        <w:t>（征求意见稿）</w:t>
      </w:r>
    </w:p>
    <w:p>
      <w:pPr>
        <w:pStyle w:val="127"/>
        <w:framePr w:w="9639" w:h="6974" w:hRule="exact" w:wrap="around" w:vAnchor="page" w:hAnchor="page" w:x="1419" w:y="6408" w:anchorLock="1"/>
        <w:spacing w:before="180" w:line="240" w:lineRule="atLeast"/>
        <w:textAlignment w:val="bottom"/>
        <w:rPr>
          <w:sz w:val="21"/>
          <w:szCs w:val="28"/>
        </w:rPr>
      </w:pPr>
      <w:bookmarkStart w:id="158" w:name="_GoBack"/>
      <w:bookmarkEnd w:id="158"/>
    </w:p>
    <w:p>
      <w:pPr>
        <w:pStyle w:val="127"/>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7" w:name="下拉2"/>
      <w:r>
        <w:rPr>
          <w:b/>
          <w:sz w:val="21"/>
          <w:szCs w:val="28"/>
        </w:rPr>
        <w:instrText xml:space="preserve"> FORMDROPDOWN </w:instrText>
      </w:r>
      <w:r>
        <w:rPr>
          <w:b/>
          <w:sz w:val="21"/>
          <w:szCs w:val="28"/>
        </w:rPr>
        <w:fldChar w:fldCharType="separate"/>
      </w:r>
      <w:r>
        <w:rPr>
          <w:b/>
          <w:sz w:val="21"/>
          <w:szCs w:val="28"/>
        </w:rPr>
        <w:fldChar w:fldCharType="end"/>
      </w:r>
      <w:bookmarkEnd w:id="7"/>
    </w:p>
    <w:p>
      <w:pPr>
        <w:pStyle w:val="195"/>
        <w:framePr w:wrap="around" w:y="14176"/>
      </w:pPr>
      <w:r>
        <w:rPr>
          <w:rFonts w:ascii="黑体"/>
        </w:rPr>
        <w:fldChar w:fldCharType="begin">
          <w:ffData>
            <w:name w:val="PLSH_DATE_Y"/>
            <w:enabled/>
            <w:calcOnExit w:val="0"/>
            <w:textInput>
              <w:default w:val="XXXX"/>
              <w:maxLength w:val="4"/>
            </w:textInput>
          </w:ffData>
        </w:fldChar>
      </w:r>
      <w:bookmarkStart w:id="8" w:name="PLSH_DATE_Y"/>
      <w:r>
        <w:rPr>
          <w:rFonts w:ascii="黑体"/>
        </w:rPr>
        <w:instrText xml:space="preserve"> FORMTEXT </w:instrText>
      </w:r>
      <w:r>
        <w:rPr>
          <w:rFonts w:ascii="黑体"/>
        </w:rPr>
        <w:fldChar w:fldCharType="separate"/>
      </w:r>
      <w:r>
        <w:rPr>
          <w:rFonts w:hint="eastAsia" w:ascii="黑体"/>
        </w:rPr>
        <w:t>2023</w:t>
      </w:r>
      <w:r>
        <w:rPr>
          <w:rFonts w:ascii="黑体"/>
        </w:rPr>
        <w:fldChar w:fldCharType="end"/>
      </w:r>
      <w:bookmarkEnd w:id="8"/>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p>
    <w:p>
      <w:pPr>
        <w:pStyle w:val="196"/>
        <w:framePr w:wrap="around" w:y="14176"/>
      </w:pPr>
      <w:r>
        <w:rPr>
          <w:rFonts w:ascii="黑体"/>
        </w:rPr>
        <w:fldChar w:fldCharType="begin">
          <w:ffData>
            <w:name w:val="CROT_DATE_Y"/>
            <w:enabled/>
            <w:calcOnExit w:val="0"/>
            <w:textInput>
              <w:default w:val="XXXX"/>
              <w:maxLength w:val="4"/>
            </w:textInput>
          </w:ffData>
        </w:fldChar>
      </w:r>
      <w:bookmarkStart w:id="11" w:name="CROT_DATE_Y"/>
      <w:r>
        <w:rPr>
          <w:rFonts w:ascii="黑体"/>
        </w:rPr>
        <w:instrText xml:space="preserve"> FORMTEXT </w:instrText>
      </w:r>
      <w:r>
        <w:rPr>
          <w:rFonts w:ascii="黑体"/>
        </w:rPr>
        <w:fldChar w:fldCharType="separate"/>
      </w:r>
      <w:r>
        <w:rPr>
          <w:rFonts w:hint="eastAsia" w:ascii="黑体"/>
        </w:rPr>
        <w:t>2024</w:t>
      </w:r>
      <w:r>
        <w:rPr>
          <w:rFonts w:ascii="黑体"/>
        </w:rPr>
        <w:fldChar w:fldCharType="end"/>
      </w:r>
      <w:bookmarkEnd w:id="11"/>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2"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3"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实施</w:t>
      </w:r>
    </w:p>
    <w:p>
      <w:pPr>
        <w:pStyle w:val="153"/>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4" w:name="fm"/>
      <w:r>
        <w:rPr>
          <w:rFonts w:hAnsi="黑体"/>
          <w:w w:val="100"/>
          <w:sz w:val="28"/>
        </w:rPr>
        <w:instrText xml:space="preserve"> FORMTEXT </w:instrText>
      </w:r>
      <w:r>
        <w:rPr>
          <w:rFonts w:hAnsi="黑体"/>
          <w:w w:val="100"/>
          <w:sz w:val="28"/>
        </w:rPr>
        <w:fldChar w:fldCharType="separate"/>
      </w:r>
      <w:r>
        <w:rPr>
          <w:rFonts w:hAnsi="黑体"/>
          <w:w w:val="100"/>
          <w:sz w:val="28"/>
        </w:rPr>
        <w:t>南京节能环保产业协会</w:t>
      </w:r>
      <w:r>
        <w:rPr>
          <w:rFonts w:hAnsi="黑体"/>
          <w:w w:val="100"/>
          <w:sz w:val="28"/>
        </w:rPr>
        <w:fldChar w:fldCharType="end"/>
      </w:r>
      <w:bookmarkEnd w:id="14"/>
      <w:r>
        <w:rPr>
          <w:rFonts w:ascii="Times New Roman"/>
          <w:w w:val="100"/>
          <w:sz w:val="28"/>
        </w:rPr>
        <w:t>  </w:t>
      </w:r>
      <w:r>
        <w:rPr>
          <w:rStyle w:val="231"/>
          <w:rFonts w:hint="eastAsia" w:hAnsi="黑体"/>
          <w:position w:val="0"/>
        </w:rPr>
        <w:t>发</w:t>
      </w:r>
      <w:r>
        <w:rPr>
          <w:rStyle w:val="231"/>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pPr>
        <w:pStyle w:val="93"/>
        <w:spacing w:after="360"/>
      </w:pPr>
      <w:bookmarkStart w:id="15" w:name="BookMark1"/>
      <w:r>
        <w:rPr>
          <w:rFonts w:hint="eastAsia"/>
          <w:spacing w:val="320"/>
        </w:rPr>
        <w:t>目</w:t>
      </w:r>
      <w:r>
        <w:rPr>
          <w:rFonts w:hint="eastAsia"/>
        </w:rPr>
        <w:t>次</w:t>
      </w:r>
    </w:p>
    <w:p>
      <w:pPr>
        <w:pStyle w:val="20"/>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"标准文件_一级条标题,2,标准文件_二级条标题,3,标准文件_附录一级条标题,2,标准文件_附录二级条标题,3," </w:instrText>
      </w:r>
      <w:r>
        <w:fldChar w:fldCharType="separate"/>
      </w:r>
      <w:r>
        <w:fldChar w:fldCharType="begin"/>
      </w:r>
      <w:r>
        <w:instrText xml:space="preserve"> HYPERLINK \l "_Toc152331781" </w:instrText>
      </w:r>
      <w:r>
        <w:fldChar w:fldCharType="separate"/>
      </w:r>
      <w:r>
        <w:rPr>
          <w:rStyle w:val="34"/>
          <w:rFonts w:hint="eastAsia"/>
        </w:rPr>
        <w:t>前言</w:t>
      </w:r>
      <w:r>
        <w:tab/>
      </w:r>
      <w:r>
        <w:fldChar w:fldCharType="begin"/>
      </w:r>
      <w:r>
        <w:instrText xml:space="preserve"> PAGEREF _Toc152331781 \h </w:instrText>
      </w:r>
      <w:r>
        <w:fldChar w:fldCharType="separate"/>
      </w:r>
      <w:r>
        <w:t>V</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"_Toc152331782" </w:instrText>
      </w:r>
      <w:r>
        <w:fldChar w:fldCharType="separate"/>
      </w:r>
      <w:r>
        <w:rPr>
          <w:rStyle w:val="34"/>
        </w:rPr>
        <w:t xml:space="preserve">1 </w:t>
      </w:r>
      <w:r>
        <w:rPr>
          <w:rStyle w:val="34"/>
          <w:rFonts w:hint="eastAsia"/>
        </w:rPr>
        <w:t xml:space="preserve"> 范围</w:t>
      </w:r>
      <w:r>
        <w:tab/>
      </w:r>
      <w:r>
        <w:fldChar w:fldCharType="begin"/>
      </w:r>
      <w:r>
        <w:instrText xml:space="preserve"> PAGEREF _Toc152331782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"_Toc152331783" </w:instrText>
      </w:r>
      <w:r>
        <w:fldChar w:fldCharType="separate"/>
      </w:r>
      <w:r>
        <w:rPr>
          <w:rStyle w:val="34"/>
        </w:rPr>
        <w:t xml:space="preserve">2 </w:t>
      </w:r>
      <w:r>
        <w:rPr>
          <w:rStyle w:val="34"/>
          <w:rFonts w:hint="eastAsia"/>
        </w:rPr>
        <w:t xml:space="preserve"> 规范性引用文件</w:t>
      </w:r>
      <w:r>
        <w:tab/>
      </w:r>
      <w:r>
        <w:fldChar w:fldCharType="begin"/>
      </w:r>
      <w:r>
        <w:instrText xml:space="preserve"> PAGEREF _Toc152331783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"_Toc152331784" </w:instrText>
      </w:r>
      <w:r>
        <w:fldChar w:fldCharType="separate"/>
      </w:r>
      <w:r>
        <w:rPr>
          <w:rStyle w:val="34"/>
        </w:rPr>
        <w:t xml:space="preserve">3 </w:t>
      </w:r>
      <w:r>
        <w:rPr>
          <w:rStyle w:val="34"/>
          <w:rFonts w:hint="eastAsia"/>
        </w:rPr>
        <w:t xml:space="preserve"> 术语和定义</w:t>
      </w:r>
      <w:r>
        <w:tab/>
      </w:r>
      <w:r>
        <w:fldChar w:fldCharType="begin"/>
      </w:r>
      <w:r>
        <w:instrText xml:space="preserve"> PAGEREF _Toc152331784 \h </w:instrText>
      </w:r>
      <w:r>
        <w:fldChar w:fldCharType="separate"/>
      </w:r>
      <w:r>
        <w:t>2</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"_Toc152331785" </w:instrText>
      </w:r>
      <w:r>
        <w:fldChar w:fldCharType="separate"/>
      </w:r>
      <w:r>
        <w:rPr>
          <w:rStyle w:val="34"/>
        </w:rPr>
        <w:t xml:space="preserve">4 </w:t>
      </w:r>
      <w:r>
        <w:rPr>
          <w:rStyle w:val="34"/>
          <w:rFonts w:hint="eastAsia"/>
        </w:rPr>
        <w:t xml:space="preserve"> 基本要求</w:t>
      </w:r>
      <w:r>
        <w:tab/>
      </w:r>
      <w:r>
        <w:fldChar w:fldCharType="begin"/>
      </w:r>
      <w:r>
        <w:instrText xml:space="preserve"> PAGEREF _Toc152331785 \h </w:instrText>
      </w:r>
      <w:r>
        <w:fldChar w:fldCharType="separate"/>
      </w:r>
      <w:r>
        <w:t>2</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"_Toc152331817" </w:instrText>
      </w:r>
      <w:r>
        <w:fldChar w:fldCharType="separate"/>
      </w:r>
      <w:r>
        <w:rPr>
          <w:rStyle w:val="34"/>
        </w:rPr>
        <w:t xml:space="preserve">5 </w:t>
      </w:r>
      <w:r>
        <w:rPr>
          <w:rStyle w:val="34"/>
          <w:rFonts w:hint="eastAsia"/>
        </w:rPr>
        <w:t xml:space="preserve"> 平面布置</w:t>
      </w:r>
      <w:r>
        <w:tab/>
      </w:r>
      <w:r>
        <w:fldChar w:fldCharType="begin"/>
      </w:r>
      <w:r>
        <w:instrText xml:space="preserve"> PAGEREF _Toc152331817 \h </w:instrText>
      </w:r>
      <w:r>
        <w:fldChar w:fldCharType="separate"/>
      </w:r>
      <w:r>
        <w:t>4</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"_Toc152331826" </w:instrText>
      </w:r>
      <w:r>
        <w:fldChar w:fldCharType="separate"/>
      </w:r>
      <w:r>
        <w:rPr>
          <w:rStyle w:val="34"/>
        </w:rPr>
        <w:t xml:space="preserve">6 </w:t>
      </w:r>
      <w:r>
        <w:rPr>
          <w:rStyle w:val="34"/>
          <w:rFonts w:hint="eastAsia"/>
        </w:rPr>
        <w:t xml:space="preserve"> 工艺及管道设计</w:t>
      </w:r>
      <w:r>
        <w:tab/>
      </w:r>
      <w:r>
        <w:fldChar w:fldCharType="begin"/>
      </w:r>
      <w:r>
        <w:instrText xml:space="preserve"> PAGEREF _Toc152331826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"_Toc152331827" </w:instrText>
      </w:r>
      <w:r>
        <w:fldChar w:fldCharType="separate"/>
      </w:r>
      <w:r>
        <w:rPr>
          <w:rStyle w:val="34"/>
          <w14:scene3d w14:prst="orthographicFront">
            <w14:lightRig w14:rig="threePt" w14:dir="t">
              <w14:rot w14:lat="0" w14:lon="0" w14:rev="0"/>
            </w14:lightRig>
          </w14:scene3d>
        </w:rPr>
        <w:t xml:space="preserve">6.1 </w:t>
      </w:r>
      <w:r>
        <w:rPr>
          <w:rStyle w:val="34"/>
          <w:rFonts w:hint="eastAsia"/>
        </w:rPr>
        <w:t xml:space="preserve"> 一般规定</w:t>
      </w:r>
      <w:r>
        <w:tab/>
      </w:r>
      <w:r>
        <w:fldChar w:fldCharType="begin"/>
      </w:r>
      <w:r>
        <w:instrText xml:space="preserve"> PAGEREF _Toc152331827 \h </w:instrText>
      </w:r>
      <w:r>
        <w:fldChar w:fldCharType="separate"/>
      </w:r>
      <w:r>
        <w:t>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"_Toc152331838" </w:instrText>
      </w:r>
      <w:r>
        <w:fldChar w:fldCharType="separate"/>
      </w:r>
      <w:r>
        <w:rPr>
          <w:rStyle w:val="34"/>
          <w14:scene3d w14:prst="orthographicFront">
            <w14:lightRig w14:rig="threePt" w14:dir="t">
              <w14:rot w14:lat="0" w14:lon="0" w14:rev="0"/>
            </w14:lightRig>
          </w14:scene3d>
        </w:rPr>
        <w:t xml:space="preserve">6.2 </w:t>
      </w:r>
      <w:r>
        <w:rPr>
          <w:rStyle w:val="34"/>
          <w:rFonts w:hint="eastAsia"/>
        </w:rPr>
        <w:t xml:space="preserve"> 废气收集单元</w:t>
      </w:r>
      <w:r>
        <w:tab/>
      </w:r>
      <w:r>
        <w:fldChar w:fldCharType="begin"/>
      </w:r>
      <w:r>
        <w:instrText xml:space="preserve"> PAGEREF _Toc152331838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"_Toc152331843" </w:instrText>
      </w:r>
      <w:r>
        <w:fldChar w:fldCharType="separate"/>
      </w:r>
      <w:r>
        <w:rPr>
          <w:rStyle w:val="34"/>
          <w14:scene3d w14:prst="orthographicFront">
            <w14:lightRig w14:rig="threePt" w14:dir="t">
              <w14:rot w14:lat="0" w14:lon="0" w14:rev="0"/>
            </w14:lightRig>
          </w14:scene3d>
        </w:rPr>
        <w:t xml:space="preserve">6.3 </w:t>
      </w:r>
      <w:r>
        <w:rPr>
          <w:rStyle w:val="34"/>
          <w:rFonts w:hint="eastAsia"/>
        </w:rPr>
        <w:t xml:space="preserve"> 废气输送单元</w:t>
      </w:r>
      <w:r>
        <w:tab/>
      </w:r>
      <w:r>
        <w:fldChar w:fldCharType="begin"/>
      </w:r>
      <w:r>
        <w:instrText xml:space="preserve"> PAGEREF _Toc152331843 \h </w:instrText>
      </w:r>
      <w:r>
        <w:fldChar w:fldCharType="separate"/>
      </w:r>
      <w:r>
        <w:t>6</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"_Toc152331854" </w:instrText>
      </w:r>
      <w:r>
        <w:fldChar w:fldCharType="separate"/>
      </w:r>
      <w:r>
        <w:rPr>
          <w:rStyle w:val="34"/>
          <w14:scene3d w14:prst="orthographicFront">
            <w14:lightRig w14:rig="threePt" w14:dir="t">
              <w14:rot w14:lat="0" w14:lon="0" w14:rev="0"/>
            </w14:lightRig>
          </w14:scene3d>
        </w:rPr>
        <w:t xml:space="preserve">6.4 </w:t>
      </w:r>
      <w:r>
        <w:rPr>
          <w:rStyle w:val="34"/>
          <w:rFonts w:hint="eastAsia"/>
        </w:rPr>
        <w:t xml:space="preserve"> 废气预处理单元</w:t>
      </w:r>
      <w:r>
        <w:tab/>
      </w:r>
      <w:r>
        <w:fldChar w:fldCharType="begin"/>
      </w:r>
      <w:r>
        <w:instrText xml:space="preserve"> PAGEREF _Toc152331854 \h </w:instrText>
      </w:r>
      <w:r>
        <w:fldChar w:fldCharType="separate"/>
      </w:r>
      <w:r>
        <w:t>7</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"_Toc152331863" </w:instrText>
      </w:r>
      <w:r>
        <w:fldChar w:fldCharType="separate"/>
      </w:r>
      <w:r>
        <w:rPr>
          <w:rStyle w:val="34"/>
          <w14:scene3d w14:prst="orthographicFront">
            <w14:lightRig w14:rig="threePt" w14:dir="t">
              <w14:rot w14:lat="0" w14:lon="0" w14:rev="0"/>
            </w14:lightRig>
          </w14:scene3d>
        </w:rPr>
        <w:t xml:space="preserve">6.5 </w:t>
      </w:r>
      <w:r>
        <w:rPr>
          <w:rStyle w:val="34"/>
          <w:rFonts w:hint="eastAsia"/>
        </w:rPr>
        <w:t xml:space="preserve"> 末端处理单元</w:t>
      </w:r>
      <w:r>
        <w:tab/>
      </w:r>
      <w:r>
        <w:fldChar w:fldCharType="begin"/>
      </w:r>
      <w:r>
        <w:instrText xml:space="preserve"> PAGEREF _Toc152331863 \h </w:instrText>
      </w:r>
      <w:r>
        <w:fldChar w:fldCharType="separate"/>
      </w:r>
      <w:r>
        <w:t>7</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"_Toc152331866" </w:instrText>
      </w:r>
      <w:r>
        <w:fldChar w:fldCharType="separate"/>
      </w:r>
      <w:r>
        <w:rPr>
          <w:rStyle w:val="34"/>
        </w:rPr>
        <w:t xml:space="preserve">7 </w:t>
      </w:r>
      <w:r>
        <w:rPr>
          <w:rStyle w:val="34"/>
          <w:rFonts w:hint="eastAsia"/>
        </w:rPr>
        <w:t xml:space="preserve"> 自动控制</w:t>
      </w:r>
      <w:r>
        <w:tab/>
      </w:r>
      <w:r>
        <w:fldChar w:fldCharType="begin"/>
      </w:r>
      <w:r>
        <w:instrText xml:space="preserve"> PAGEREF _Toc152331866 \h </w:instrText>
      </w:r>
      <w:r>
        <w:fldChar w:fldCharType="separate"/>
      </w:r>
      <w:r>
        <w:t>9</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"_Toc152331876" </w:instrText>
      </w:r>
      <w:r>
        <w:fldChar w:fldCharType="separate"/>
      </w:r>
      <w:r>
        <w:rPr>
          <w:rStyle w:val="34"/>
        </w:rPr>
        <w:t xml:space="preserve">8 </w:t>
      </w:r>
      <w:r>
        <w:rPr>
          <w:rStyle w:val="34"/>
          <w:rFonts w:hint="eastAsia"/>
        </w:rPr>
        <w:t xml:space="preserve"> 电气</w:t>
      </w:r>
      <w:r>
        <w:tab/>
      </w:r>
      <w:r>
        <w:fldChar w:fldCharType="begin"/>
      </w:r>
      <w:r>
        <w:instrText xml:space="preserve"> PAGEREF _Toc152331876 \h </w:instrText>
      </w:r>
      <w:r>
        <w:fldChar w:fldCharType="separate"/>
      </w:r>
      <w:r>
        <w:t>9</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"_Toc152331882" </w:instrText>
      </w:r>
      <w:r>
        <w:fldChar w:fldCharType="separate"/>
      </w:r>
      <w:r>
        <w:rPr>
          <w:rStyle w:val="34"/>
        </w:rPr>
        <w:t xml:space="preserve">9 </w:t>
      </w:r>
      <w:r>
        <w:rPr>
          <w:rStyle w:val="34"/>
          <w:rFonts w:hint="eastAsia"/>
        </w:rPr>
        <w:t xml:space="preserve"> 消防、给排水</w:t>
      </w:r>
      <w:r>
        <w:tab/>
      </w:r>
      <w:r>
        <w:fldChar w:fldCharType="begin"/>
      </w:r>
      <w:r>
        <w:instrText xml:space="preserve"> PAGEREF _Toc152331882 \h </w:instrText>
      </w:r>
      <w:r>
        <w:fldChar w:fldCharType="separate"/>
      </w:r>
      <w:r>
        <w:t>10</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"_Toc152331887" </w:instrText>
      </w:r>
      <w:r>
        <w:fldChar w:fldCharType="separate"/>
      </w:r>
      <w:r>
        <w:rPr>
          <w:rStyle w:val="34"/>
        </w:rPr>
        <w:t xml:space="preserve">10 </w:t>
      </w:r>
      <w:r>
        <w:rPr>
          <w:rStyle w:val="34"/>
          <w:rFonts w:hint="eastAsia"/>
        </w:rPr>
        <w:t xml:space="preserve"> 安全、职业卫生与环境保护</w:t>
      </w:r>
      <w:r>
        <w:tab/>
      </w:r>
      <w:r>
        <w:fldChar w:fldCharType="begin"/>
      </w:r>
      <w:r>
        <w:instrText xml:space="preserve"> PAGEREF _Toc152331887 \h </w:instrText>
      </w:r>
      <w:r>
        <w:fldChar w:fldCharType="separate"/>
      </w:r>
      <w:r>
        <w:t>10</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"_Toc152331897" </w:instrText>
      </w:r>
      <w:r>
        <w:fldChar w:fldCharType="separate"/>
      </w:r>
      <w:r>
        <w:rPr>
          <w:rStyle w:val="34"/>
          <w:rFonts w:hint="eastAsia"/>
        </w:rPr>
        <w:t>参考文献</w:t>
      </w:r>
      <w:r>
        <w:tab/>
      </w:r>
      <w:r>
        <w:fldChar w:fldCharType="begin"/>
      </w:r>
      <w:r>
        <w:instrText xml:space="preserve"> PAGEREF _Toc152331897 \h </w:instrText>
      </w:r>
      <w:r>
        <w:fldChar w:fldCharType="separate"/>
      </w:r>
      <w:r>
        <w:t>11</w:t>
      </w:r>
      <w:r>
        <w:fldChar w:fldCharType="end"/>
      </w:r>
      <w:r>
        <w:fldChar w:fldCharType="end"/>
      </w:r>
    </w:p>
    <w:p>
      <w:pPr>
        <w:pStyle w:val="93"/>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5"/>
    <w:p>
      <w:pPr>
        <w:pStyle w:val="91"/>
        <w:spacing w:before="900" w:after="360"/>
      </w:pPr>
      <w:bookmarkStart w:id="16" w:name="_Toc152331781"/>
      <w:bookmarkStart w:id="17" w:name="BookMark2"/>
      <w:r>
        <w:rPr>
          <w:spacing w:val="320"/>
        </w:rPr>
        <w:t>前</w:t>
      </w:r>
      <w:r>
        <w:t>言</w:t>
      </w:r>
      <w:bookmarkEnd w:id="16"/>
    </w:p>
    <w:p>
      <w:pPr>
        <w:pStyle w:val="58"/>
        <w:ind w:firstLine="420"/>
      </w:pPr>
      <w:r>
        <w:rPr>
          <w:rFonts w:hint="eastAsia"/>
        </w:rPr>
        <w:t>本文件按照GB/T 1.1—2020《标准化工作导则  第1部分：标准化文件的结构和起草规则》的规定起草。</w:t>
      </w:r>
    </w:p>
    <w:p>
      <w:pPr>
        <w:pStyle w:val="58"/>
        <w:ind w:firstLine="420"/>
      </w:pPr>
      <w:r>
        <w:rPr>
          <w:rFonts w:hint="eastAsia"/>
        </w:rPr>
        <w:t>请注意本文件的某些内容可能涉及专利，本文件的发布机构不承担识别专利的责任。</w:t>
      </w:r>
    </w:p>
    <w:p>
      <w:pPr>
        <w:pStyle w:val="58"/>
        <w:ind w:firstLine="420"/>
      </w:pPr>
      <w:r>
        <w:t>本文件是对</w:t>
      </w:r>
      <w:r>
        <w:rPr>
          <w:rFonts w:hint="eastAsia"/>
        </w:rPr>
        <w:t>HJ 1280《炼焦化学工业废气治理工程技术规范》6.6“煤气净化尾气治理系统”的细化和扩充。</w:t>
      </w:r>
    </w:p>
    <w:p>
      <w:pPr>
        <w:pStyle w:val="58"/>
        <w:ind w:firstLine="420"/>
      </w:pPr>
      <w:r>
        <w:rPr>
          <w:rFonts w:hint="eastAsia"/>
        </w:rPr>
        <w:t>本文件由江苏智道工程技术有限公司提出。</w:t>
      </w:r>
    </w:p>
    <w:p>
      <w:pPr>
        <w:pStyle w:val="58"/>
        <w:ind w:firstLine="420"/>
      </w:pPr>
      <w:r>
        <w:rPr>
          <w:rFonts w:hint="eastAsia"/>
        </w:rPr>
        <w:t>本文件由南京节能环保产业协会归口。</w:t>
      </w:r>
    </w:p>
    <w:p>
      <w:pPr>
        <w:pStyle w:val="58"/>
        <w:ind w:firstLine="420"/>
      </w:pPr>
      <w:r>
        <w:rPr>
          <w:rFonts w:hint="eastAsia"/>
        </w:rPr>
        <w:t>本文件起草单位：江苏智道工程技术有限公司、上海梅山钢铁股份有限公司、马鞍山钢铁股份有限公司、南京南钢钢铁联合有限公司、中海油气（泰州）石化有限公司、安徽工业大学。</w:t>
      </w:r>
    </w:p>
    <w:p>
      <w:pPr>
        <w:pStyle w:val="58"/>
        <w:ind w:firstLine="420"/>
      </w:pPr>
      <w:r>
        <w:rPr>
          <w:rFonts w:hint="eastAsia"/>
        </w:rPr>
        <w:t>本文件主要起草人：李丹丹、曹彦、张斌、张军、江玲、兰钦群、滕炳祥、韩加友、邱全山、孙宝东、韩守知、崔平。</w:t>
      </w:r>
    </w:p>
    <w:p>
      <w:pPr>
        <w:pStyle w:val="58"/>
        <w:ind w:firstLine="0" w:firstLineChars="0"/>
        <w:sectPr>
          <w:pgSz w:w="11906" w:h="16838"/>
          <w:pgMar w:top="1928" w:right="1134" w:bottom="1134" w:left="1134" w:header="1418" w:footer="1134" w:gutter="284"/>
          <w:pgNumType w:fmt="upperRoman"/>
          <w:cols w:space="425" w:num="1"/>
          <w:formProt w:val="0"/>
          <w:docGrid w:linePitch="312" w:charSpace="0"/>
        </w:sectPr>
      </w:pPr>
    </w:p>
    <w:bookmarkEnd w:id="17"/>
    <w:p>
      <w:pPr>
        <w:spacing w:line="20" w:lineRule="exact"/>
        <w:jc w:val="center"/>
        <w:rPr>
          <w:rFonts w:ascii="黑体" w:hAnsi="黑体" w:eastAsia="黑体"/>
          <w:sz w:val="32"/>
          <w:szCs w:val="32"/>
        </w:rPr>
      </w:pPr>
      <w:bookmarkStart w:id="18" w:name="BookMark4"/>
    </w:p>
    <w:p>
      <w:pPr>
        <w:spacing w:line="20" w:lineRule="exact"/>
        <w:jc w:val="center"/>
        <w:rPr>
          <w:rFonts w:ascii="黑体" w:hAnsi="黑体" w:eastAsia="黑体"/>
          <w:sz w:val="32"/>
          <w:szCs w:val="32"/>
        </w:rPr>
      </w:pPr>
    </w:p>
    <w:sdt>
      <w:sdtPr>
        <w:tag w:val="NEW_STAND_NAME"/>
        <w:id w:val="595910757"/>
        <w:lock w:val="sdtLocked"/>
        <w:placeholder>
          <w:docPart w:val="BE9F7FBFAC5C45879CFF4D7B8DB85508"/>
        </w:placeholder>
      </w:sdtPr>
      <w:sdtContent>
        <w:p>
          <w:pPr>
            <w:pStyle w:val="179"/>
            <w:spacing w:before="240" w:beforeLines="100" w:after="528" w:afterLines="220"/>
          </w:pPr>
          <w:bookmarkStart w:id="19" w:name="NEW_STAND_NAME"/>
          <w:r>
            <w:rPr>
              <w:rFonts w:hint="eastAsia"/>
            </w:rPr>
            <w:t>煤气净化废气治理工程设计规范</w:t>
          </w:r>
        </w:p>
      </w:sdtContent>
    </w:sdt>
    <w:bookmarkEnd w:id="19"/>
    <w:p>
      <w:pPr>
        <w:pStyle w:val="106"/>
        <w:spacing w:before="240" w:after="240"/>
      </w:pPr>
      <w:bookmarkStart w:id="20" w:name="_Toc26986530"/>
      <w:bookmarkStart w:id="21" w:name="_Toc152331782"/>
      <w:bookmarkStart w:id="22" w:name="_Toc97192964"/>
      <w:bookmarkStart w:id="23" w:name="_Toc26986771"/>
      <w:bookmarkStart w:id="24" w:name="_Toc17233325"/>
      <w:bookmarkStart w:id="25" w:name="_Toc26648465"/>
      <w:bookmarkStart w:id="26" w:name="_Toc17233333"/>
      <w:bookmarkStart w:id="27" w:name="_Toc24884218"/>
      <w:bookmarkStart w:id="28" w:name="_Toc26718930"/>
      <w:bookmarkStart w:id="29" w:name="_Toc24884211"/>
      <w:r>
        <w:rPr>
          <w:rFonts w:hint="eastAsia"/>
        </w:rPr>
        <w:t>范围</w:t>
      </w:r>
      <w:bookmarkEnd w:id="20"/>
      <w:bookmarkEnd w:id="21"/>
      <w:bookmarkEnd w:id="22"/>
      <w:bookmarkEnd w:id="23"/>
      <w:bookmarkEnd w:id="24"/>
      <w:bookmarkEnd w:id="25"/>
      <w:bookmarkEnd w:id="26"/>
      <w:bookmarkEnd w:id="27"/>
      <w:bookmarkEnd w:id="28"/>
      <w:bookmarkEnd w:id="29"/>
    </w:p>
    <w:p>
      <w:pPr>
        <w:pStyle w:val="58"/>
        <w:ind w:firstLine="420"/>
      </w:pPr>
      <w:bookmarkStart w:id="30" w:name="_Toc26648466"/>
      <w:bookmarkStart w:id="31" w:name="_Toc24884219"/>
      <w:bookmarkStart w:id="32" w:name="_Toc17233326"/>
      <w:bookmarkStart w:id="33" w:name="_Toc17233334"/>
      <w:bookmarkStart w:id="34" w:name="_Toc24884212"/>
      <w:r>
        <w:t>本文件规定了煤气净化废气治理工程的收集、输送、预处理、末端处理的总体要求、工艺设计、工艺设备、检测与过程控制、主要辅助过程、劳动安全与职业卫生等要求。</w:t>
      </w:r>
    </w:p>
    <w:p>
      <w:pPr>
        <w:pStyle w:val="58"/>
        <w:ind w:firstLine="420"/>
      </w:pPr>
      <w:r>
        <w:rPr>
          <w:rFonts w:hint="eastAsia"/>
        </w:rPr>
        <w:t>本文件适用于煤气净化废气治理工程的新建、扩建、改建设计，可作为建设项目环境保护措施的咨询、设计依据。</w:t>
      </w:r>
    </w:p>
    <w:p>
      <w:pPr>
        <w:pStyle w:val="106"/>
        <w:spacing w:before="240" w:after="240"/>
      </w:pPr>
      <w:bookmarkStart w:id="35" w:name="_Toc26718931"/>
      <w:bookmarkStart w:id="36" w:name="_Toc26986531"/>
      <w:bookmarkStart w:id="37" w:name="_Toc26986772"/>
      <w:bookmarkStart w:id="38" w:name="_Toc97192965"/>
      <w:bookmarkStart w:id="39" w:name="_Toc152331783"/>
      <w:r>
        <w:rPr>
          <w:rFonts w:hint="eastAsia"/>
        </w:rPr>
        <w:t>规范性引用文件</w:t>
      </w:r>
      <w:bookmarkEnd w:id="30"/>
      <w:bookmarkEnd w:id="31"/>
      <w:bookmarkEnd w:id="32"/>
      <w:bookmarkEnd w:id="33"/>
      <w:bookmarkEnd w:id="34"/>
      <w:bookmarkEnd w:id="35"/>
      <w:bookmarkEnd w:id="36"/>
      <w:bookmarkEnd w:id="37"/>
      <w:bookmarkEnd w:id="38"/>
      <w:bookmarkEnd w:id="39"/>
    </w:p>
    <w:sdt>
      <w:sdtPr>
        <w:rPr>
          <w:rFonts w:hint="eastAsia"/>
        </w:rPr>
        <w:id w:val="715848253"/>
        <w:placeholder>
          <w:docPart w:val="7650E752C83840BEB39DCFE63818E96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8"/>
        <w:ind w:firstLine="420"/>
      </w:pPr>
      <w:r>
        <w:t>GB</w:t>
      </w:r>
      <w:r>
        <w:rPr>
          <w:rFonts w:hint="eastAsia"/>
        </w:rPr>
        <w:t xml:space="preserve"> </w:t>
      </w:r>
      <w:r>
        <w:t>6222</w:t>
      </w:r>
      <w:r>
        <w:rPr>
          <w:rFonts w:hint="eastAsia"/>
        </w:rPr>
        <w:t xml:space="preserve">  </w:t>
      </w:r>
      <w:r>
        <w:t>工业企业煤气安全规程</w:t>
      </w:r>
    </w:p>
    <w:p>
      <w:pPr>
        <w:pStyle w:val="58"/>
        <w:ind w:firstLine="420"/>
      </w:pPr>
      <w:r>
        <w:t>GB/T</w:t>
      </w:r>
      <w:r>
        <w:rPr>
          <w:rFonts w:hint="eastAsia"/>
        </w:rPr>
        <w:t xml:space="preserve"> </w:t>
      </w:r>
      <w:r>
        <w:t>8163</w:t>
      </w:r>
      <w:r>
        <w:rPr>
          <w:rFonts w:hint="eastAsia"/>
        </w:rPr>
        <w:t xml:space="preserve">  输送流体用无缝钢管</w:t>
      </w:r>
    </w:p>
    <w:p>
      <w:pPr>
        <w:pStyle w:val="58"/>
        <w:ind w:firstLine="420"/>
      </w:pPr>
      <w:r>
        <w:t>GB 12710  焦化安全规程</w:t>
      </w:r>
    </w:p>
    <w:p>
      <w:pPr>
        <w:pStyle w:val="58"/>
        <w:ind w:firstLine="420"/>
      </w:pPr>
      <w:r>
        <w:t>GB/T</w:t>
      </w:r>
      <w:r>
        <w:rPr>
          <w:rFonts w:hint="eastAsia"/>
        </w:rPr>
        <w:t xml:space="preserve"> </w:t>
      </w:r>
      <w:r>
        <w:t>13347</w:t>
      </w:r>
      <w:r>
        <w:rPr>
          <w:rFonts w:hint="eastAsia"/>
        </w:rPr>
        <w:t xml:space="preserve">  </w:t>
      </w:r>
      <w:r>
        <w:t>石油气体管道阻火器</w:t>
      </w:r>
    </w:p>
    <w:p>
      <w:pPr>
        <w:pStyle w:val="58"/>
        <w:ind w:firstLine="420"/>
      </w:pPr>
      <w:r>
        <w:t>GB 14554  恶臭污染物排放标准</w:t>
      </w:r>
    </w:p>
    <w:p>
      <w:pPr>
        <w:pStyle w:val="58"/>
        <w:ind w:firstLine="420"/>
      </w:pPr>
      <w:r>
        <w:t>GB/T 14976</w:t>
      </w:r>
      <w:r>
        <w:rPr>
          <w:rFonts w:hint="eastAsia"/>
        </w:rPr>
        <w:t xml:space="preserve">  流体输送用不锈钢无缝管</w:t>
      </w:r>
    </w:p>
    <w:p>
      <w:pPr>
        <w:pStyle w:val="58"/>
        <w:ind w:firstLine="420"/>
      </w:pPr>
      <w:r>
        <w:t>GB/T 16157</w:t>
      </w:r>
      <w:r>
        <w:rPr>
          <w:rFonts w:hint="eastAsia"/>
        </w:rPr>
        <w:t xml:space="preserve">  固定污染源排气中颗粒物测定与气态污染物采样方法</w:t>
      </w:r>
    </w:p>
    <w:p>
      <w:pPr>
        <w:pStyle w:val="58"/>
        <w:ind w:firstLine="420"/>
      </w:pPr>
      <w:r>
        <w:t>GB</w:t>
      </w:r>
      <w:r>
        <w:rPr>
          <w:rFonts w:hint="eastAsia"/>
        </w:rPr>
        <w:t xml:space="preserve"> </w:t>
      </w:r>
      <w:r>
        <w:t>16171</w:t>
      </w:r>
      <w:r>
        <w:rPr>
          <w:rFonts w:hint="eastAsia"/>
        </w:rPr>
        <w:t xml:space="preserve">  </w:t>
      </w:r>
      <w:r>
        <w:t>炼焦化学工业污染物排放标准</w:t>
      </w:r>
    </w:p>
    <w:p>
      <w:pPr>
        <w:pStyle w:val="58"/>
        <w:ind w:firstLine="420"/>
      </w:pPr>
      <w:r>
        <w:t>GB/T</w:t>
      </w:r>
      <w:r>
        <w:rPr>
          <w:rFonts w:hint="eastAsia"/>
        </w:rPr>
        <w:t xml:space="preserve"> </w:t>
      </w:r>
      <w:r>
        <w:t>16758</w:t>
      </w:r>
      <w:r>
        <w:rPr>
          <w:rFonts w:hint="eastAsia"/>
        </w:rPr>
        <w:t xml:space="preserve">  </w:t>
      </w:r>
      <w:r>
        <w:t>排风罩的分类及技术条件</w:t>
      </w:r>
    </w:p>
    <w:p>
      <w:pPr>
        <w:pStyle w:val="58"/>
        <w:ind w:firstLine="420"/>
      </w:pPr>
      <w:r>
        <w:t>GB 37822  挥发性有机物无组织排放控制标准</w:t>
      </w:r>
    </w:p>
    <w:p>
      <w:pPr>
        <w:pStyle w:val="58"/>
        <w:ind w:firstLine="420"/>
      </w:pPr>
      <w:r>
        <w:t xml:space="preserve">GB 39800.3  个人防护装备选用规范 </w:t>
      </w:r>
    </w:p>
    <w:p>
      <w:pPr>
        <w:pStyle w:val="58"/>
        <w:ind w:firstLine="420"/>
      </w:pPr>
      <w:r>
        <w:t>GB 50034  建筑照明设计标准</w:t>
      </w:r>
    </w:p>
    <w:p>
      <w:pPr>
        <w:pStyle w:val="58"/>
        <w:ind w:firstLine="420"/>
      </w:pPr>
      <w:r>
        <w:t>GB 50057  建筑物防雷设计规范</w:t>
      </w:r>
    </w:p>
    <w:p>
      <w:pPr>
        <w:pStyle w:val="58"/>
        <w:ind w:firstLine="420"/>
      </w:pPr>
      <w:r>
        <w:t>GB 50058  爆炸危险环境电力装置设计规范</w:t>
      </w:r>
    </w:p>
    <w:p>
      <w:pPr>
        <w:pStyle w:val="58"/>
        <w:ind w:firstLine="420"/>
      </w:pPr>
      <w:r>
        <w:t>GB/T 50087</w:t>
      </w:r>
      <w:r>
        <w:rPr>
          <w:rFonts w:hint="eastAsia"/>
        </w:rPr>
        <w:t xml:space="preserve">  工业企业噪声控制设计规范</w:t>
      </w:r>
    </w:p>
    <w:p>
      <w:pPr>
        <w:pStyle w:val="58"/>
        <w:ind w:firstLine="420"/>
      </w:pPr>
      <w:r>
        <w:t>GB</w:t>
      </w:r>
      <w:r>
        <w:rPr>
          <w:rFonts w:hint="eastAsia"/>
        </w:rPr>
        <w:t xml:space="preserve"> </w:t>
      </w:r>
      <w:r>
        <w:t>50160</w:t>
      </w:r>
      <w:r>
        <w:rPr>
          <w:rFonts w:hint="eastAsia"/>
        </w:rPr>
        <w:t xml:space="preserve">  </w:t>
      </w:r>
      <w:r>
        <w:t>石油化工企业设计防火标准</w:t>
      </w:r>
    </w:p>
    <w:p>
      <w:pPr>
        <w:pStyle w:val="58"/>
        <w:ind w:firstLine="420"/>
      </w:pPr>
      <w:r>
        <w:t>GB/T 50483  化工建设项目环境保护设计标准</w:t>
      </w:r>
    </w:p>
    <w:p>
      <w:pPr>
        <w:pStyle w:val="58"/>
        <w:ind w:firstLine="420"/>
      </w:pPr>
      <w:r>
        <w:t>GB/T</w:t>
      </w:r>
      <w:r>
        <w:rPr>
          <w:rFonts w:hint="eastAsia"/>
        </w:rPr>
        <w:t xml:space="preserve"> </w:t>
      </w:r>
      <w:r>
        <w:t>50493</w:t>
      </w:r>
      <w:r>
        <w:rPr>
          <w:rFonts w:hint="eastAsia"/>
        </w:rPr>
        <w:t xml:space="preserve">  </w:t>
      </w:r>
      <w:r>
        <w:t>石油化工可燃气体和有毒气体检测报警设计规范</w:t>
      </w:r>
    </w:p>
    <w:p>
      <w:pPr>
        <w:pStyle w:val="58"/>
        <w:ind w:firstLine="420"/>
      </w:pPr>
      <w:r>
        <w:t>GB/T</w:t>
      </w:r>
      <w:r>
        <w:rPr>
          <w:rFonts w:hint="eastAsia"/>
        </w:rPr>
        <w:t xml:space="preserve"> </w:t>
      </w:r>
      <w:r>
        <w:t>50759</w:t>
      </w:r>
      <w:r>
        <w:rPr>
          <w:rFonts w:hint="eastAsia"/>
        </w:rPr>
        <w:t xml:space="preserve">  </w:t>
      </w:r>
      <w:r>
        <w:t>油气回收处理设施技术标准</w:t>
      </w:r>
    </w:p>
    <w:p>
      <w:pPr>
        <w:pStyle w:val="58"/>
        <w:ind w:firstLine="420"/>
      </w:pPr>
      <w:r>
        <w:t>GB/T</w:t>
      </w:r>
      <w:r>
        <w:rPr>
          <w:rFonts w:hint="eastAsia"/>
        </w:rPr>
        <w:t xml:space="preserve"> </w:t>
      </w:r>
      <w:r>
        <w:t>50770</w:t>
      </w:r>
      <w:r>
        <w:rPr>
          <w:rFonts w:hint="eastAsia"/>
        </w:rPr>
        <w:t xml:space="preserve">  </w:t>
      </w:r>
      <w:r>
        <w:t>石油化工安全仪表系统设计规范</w:t>
      </w:r>
    </w:p>
    <w:p>
      <w:pPr>
        <w:pStyle w:val="58"/>
        <w:ind w:firstLine="420"/>
      </w:pPr>
      <w:r>
        <w:t>GBZ</w:t>
      </w:r>
      <w:r>
        <w:rPr>
          <w:rFonts w:hint="eastAsia"/>
        </w:rPr>
        <w:t xml:space="preserve"> </w:t>
      </w:r>
      <w:r>
        <w:t>1</w:t>
      </w:r>
      <w:r>
        <w:rPr>
          <w:rFonts w:hint="eastAsia"/>
        </w:rPr>
        <w:t xml:space="preserve">  </w:t>
      </w:r>
      <w:r>
        <w:t>工业企业设计卫生标准</w:t>
      </w:r>
    </w:p>
    <w:p>
      <w:pPr>
        <w:pStyle w:val="58"/>
        <w:ind w:firstLine="420"/>
      </w:pPr>
      <w:r>
        <w:t>AQ</w:t>
      </w:r>
      <w:r>
        <w:rPr>
          <w:rFonts w:hint="eastAsia"/>
        </w:rPr>
        <w:t xml:space="preserve"> </w:t>
      </w:r>
      <w:r>
        <w:t>1072</w:t>
      </w:r>
      <w:r>
        <w:rPr>
          <w:rFonts w:hint="eastAsia"/>
        </w:rPr>
        <w:t xml:space="preserve">  </w:t>
      </w:r>
      <w:r>
        <w:t>瓦斯管道输送水封阻火泄爆装置技术条件</w:t>
      </w:r>
    </w:p>
    <w:p>
      <w:pPr>
        <w:pStyle w:val="58"/>
        <w:ind w:firstLine="420"/>
      </w:pPr>
      <w:r>
        <w:t>AQ</w:t>
      </w:r>
      <w:r>
        <w:rPr>
          <w:rFonts w:hint="eastAsia"/>
        </w:rPr>
        <w:t xml:space="preserve"> </w:t>
      </w:r>
      <w:r>
        <w:t>7012</w:t>
      </w:r>
      <w:r>
        <w:rPr>
          <w:rFonts w:hint="eastAsia"/>
        </w:rPr>
        <w:t xml:space="preserve">  </w:t>
      </w:r>
      <w:r>
        <w:t>煤气排水器安全技术规程</w:t>
      </w:r>
    </w:p>
    <w:p>
      <w:pPr>
        <w:pStyle w:val="58"/>
        <w:ind w:firstLine="420"/>
      </w:pPr>
      <w:r>
        <w:t>HJ 1093  蓄热燃烧法工业有机废气治理工程技术规范</w:t>
      </w:r>
    </w:p>
    <w:p>
      <w:pPr>
        <w:pStyle w:val="58"/>
        <w:ind w:firstLine="420"/>
      </w:pPr>
      <w:r>
        <w:t>HJ 1094  石油炼制工业废气治理工程技术规范</w:t>
      </w:r>
    </w:p>
    <w:p>
      <w:pPr>
        <w:pStyle w:val="58"/>
        <w:ind w:firstLine="420"/>
      </w:pPr>
      <w:r>
        <w:rPr>
          <w:rFonts w:hint="eastAsia"/>
        </w:rPr>
        <w:t>HJ 1280  炼焦化学工业废气治理工程技术规范</w:t>
      </w:r>
    </w:p>
    <w:p>
      <w:pPr>
        <w:pStyle w:val="58"/>
        <w:ind w:firstLine="420"/>
      </w:pPr>
      <w:r>
        <w:t>SH/T</w:t>
      </w:r>
      <w:r>
        <w:rPr>
          <w:rFonts w:hint="eastAsia"/>
        </w:rPr>
        <w:t xml:space="preserve"> </w:t>
      </w:r>
      <w:r>
        <w:t>3413</w:t>
      </w:r>
      <w:r>
        <w:rPr>
          <w:rFonts w:hint="eastAsia"/>
        </w:rPr>
        <w:t xml:space="preserve">  </w:t>
      </w:r>
      <w:r>
        <w:t>石油化工石油气管道阻火器选用、检验及验收标准</w:t>
      </w:r>
    </w:p>
    <w:p>
      <w:pPr>
        <w:pStyle w:val="58"/>
        <w:ind w:firstLine="420"/>
      </w:pPr>
      <w:r>
        <w:t>SH/T</w:t>
      </w:r>
      <w:r>
        <w:rPr>
          <w:rFonts w:hint="eastAsia"/>
        </w:rPr>
        <w:t xml:space="preserve"> </w:t>
      </w:r>
      <w:r>
        <w:t>3097</w:t>
      </w:r>
      <w:r>
        <w:rPr>
          <w:rFonts w:hint="eastAsia"/>
        </w:rPr>
        <w:t xml:space="preserve">  </w:t>
      </w:r>
      <w:r>
        <w:t>石油化工静电接地设计规范</w:t>
      </w:r>
    </w:p>
    <w:p>
      <w:pPr>
        <w:pStyle w:val="58"/>
        <w:ind w:firstLine="420"/>
      </w:pPr>
      <w:r>
        <w:t>SH/T 3005  石油化工自动化仪表选型设计规范</w:t>
      </w:r>
    </w:p>
    <w:p>
      <w:pPr>
        <w:pStyle w:val="58"/>
        <w:ind w:firstLine="420"/>
      </w:pPr>
      <w:r>
        <w:t>SH/T</w:t>
      </w:r>
      <w:r>
        <w:rPr>
          <w:rFonts w:hint="eastAsia"/>
        </w:rPr>
        <w:t xml:space="preserve"> </w:t>
      </w:r>
      <w:r>
        <w:t>3007</w:t>
      </w:r>
      <w:r>
        <w:rPr>
          <w:rFonts w:hint="eastAsia"/>
        </w:rPr>
        <w:t xml:space="preserve">  </w:t>
      </w:r>
      <w:r>
        <w:t>石油化工储运系统罐区设计规范</w:t>
      </w:r>
    </w:p>
    <w:p>
      <w:pPr>
        <w:pStyle w:val="58"/>
        <w:ind w:firstLine="420"/>
      </w:pPr>
      <w:r>
        <w:t>SY/T 0511.2</w:t>
      </w:r>
      <w:r>
        <w:rPr>
          <w:rFonts w:hint="eastAsia"/>
        </w:rPr>
        <w:t xml:space="preserve">  石油储罐附件 第2部分：液压安全阀</w:t>
      </w:r>
    </w:p>
    <w:p>
      <w:pPr>
        <w:pStyle w:val="58"/>
        <w:ind w:firstLine="420"/>
      </w:pPr>
    </w:p>
    <w:p>
      <w:pPr>
        <w:pStyle w:val="106"/>
        <w:spacing w:before="240" w:after="240"/>
      </w:pPr>
      <w:bookmarkStart w:id="40" w:name="_Toc97192966"/>
      <w:bookmarkStart w:id="41" w:name="_Toc152331784"/>
      <w:r>
        <w:rPr>
          <w:rFonts w:hint="eastAsia"/>
          <w:szCs w:val="21"/>
        </w:rPr>
        <w:t>术语和定义</w:t>
      </w:r>
      <w:bookmarkEnd w:id="40"/>
      <w:bookmarkEnd w:id="41"/>
    </w:p>
    <w:sdt>
      <w:sdtPr>
        <w:id w:val="-1909835108"/>
        <w:placeholder>
          <w:docPart w:val="DA049B436DDF451ABC7F9743B9393A1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8"/>
            <w:ind w:firstLine="420"/>
          </w:pPr>
          <w:bookmarkStart w:id="42" w:name="_Toc26986532"/>
          <w:bookmarkEnd w:id="42"/>
          <w:r>
            <w:t>下列术语和定义适用于本文件。</w:t>
          </w:r>
        </w:p>
      </w:sdtContent>
    </w:sdt>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煤气净化废气</w:t>
      </w:r>
      <w:r>
        <w:rPr>
          <w:rFonts w:hint="eastAsia" w:ascii="黑体" w:hAnsi="黑体" w:eastAsia="黑体"/>
        </w:rPr>
        <w:t xml:space="preserve">  waste gas of coal gas purification</w:t>
      </w:r>
    </w:p>
    <w:p>
      <w:pPr>
        <w:pStyle w:val="58"/>
        <w:ind w:firstLine="420"/>
      </w:pPr>
      <w:r>
        <w:rPr>
          <w:rFonts w:hint="eastAsia"/>
        </w:rPr>
        <w:t>是荒煤气净化过程的冷鼓、煤焦油深加工、硫铵、脱硫、洗脱苯及粗笨深加工、油库及其装载等所产生的含有焦油、萘、挥发性有机物、硫化氢、氢气、氰化氢、氨气、一氧化碳、氮气、氧气等混合废</w:t>
      </w:r>
      <w:r>
        <w:br w:type="textWrapping"/>
      </w:r>
      <w:r>
        <w:rPr>
          <w:rFonts w:hint="eastAsia"/>
        </w:rPr>
        <w:t>气的总称。</w:t>
      </w:r>
    </w:p>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废气治理系统</w:t>
      </w:r>
      <w:r>
        <w:rPr>
          <w:rFonts w:hint="eastAsia" w:ascii="黑体" w:hAnsi="黑体" w:eastAsia="黑体"/>
        </w:rPr>
        <w:t xml:space="preserve">  waste gas treatment system </w:t>
      </w:r>
    </w:p>
    <w:p>
      <w:pPr>
        <w:pStyle w:val="58"/>
        <w:ind w:firstLine="420"/>
      </w:pPr>
      <w:r>
        <w:t>由废气收集单元、废气输送单元、废气预处理单元、进负压总管或末端处理单元和配套设施组成。</w:t>
      </w:r>
    </w:p>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废气收集单元</w:t>
      </w:r>
      <w:r>
        <w:rPr>
          <w:rFonts w:hint="eastAsia" w:ascii="黑体" w:hAnsi="黑体" w:eastAsia="黑体"/>
        </w:rPr>
        <w:t xml:space="preserve">  waste gas collection unit</w:t>
      </w:r>
    </w:p>
    <w:p>
      <w:pPr>
        <w:pStyle w:val="58"/>
        <w:ind w:firstLine="420"/>
      </w:pPr>
      <w:r>
        <w:rPr>
          <w:rFonts w:hint="eastAsia"/>
        </w:rPr>
        <w:t>将焦炉煤气净化过程中的密闭储罐、装载系统、敞口设施等逸散点产生的废气通过密闭七项管道及其他工艺设备进行集中收集的系统。</w:t>
      </w:r>
    </w:p>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单罐单控</w:t>
      </w:r>
      <w:r>
        <w:rPr>
          <w:rFonts w:hint="eastAsia" w:ascii="黑体" w:hAnsi="黑体" w:eastAsia="黑体"/>
        </w:rPr>
        <w:t xml:space="preserve">  single tank &amp; single control</w:t>
      </w:r>
    </w:p>
    <w:p>
      <w:pPr>
        <w:pStyle w:val="58"/>
        <w:ind w:firstLine="420"/>
      </w:pPr>
      <w:r>
        <w:rPr>
          <w:rFonts w:hint="eastAsia"/>
        </w:rPr>
        <w:t>每座储罐油气收集管道上设置压力控制阀、管道爆轰型阻火器、不同储罐的废气不考虑相互平衡、压力超高时通过其废气收集管道排入废气收集总管的连接方式。</w:t>
      </w:r>
    </w:p>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直接连通</w:t>
      </w:r>
      <w:r>
        <w:rPr>
          <w:rFonts w:hint="eastAsia" w:ascii="黑体" w:hAnsi="黑体" w:eastAsia="黑体"/>
        </w:rPr>
        <w:t xml:space="preserve">  direct </w:t>
      </w:r>
      <w:r>
        <w:rPr>
          <w:rFonts w:ascii="黑体" w:hAnsi="黑体" w:eastAsia="黑体"/>
        </w:rPr>
        <w:t>connectivity</w:t>
      </w:r>
    </w:p>
    <w:p>
      <w:pPr>
        <w:pStyle w:val="58"/>
        <w:ind w:firstLine="420"/>
      </w:pPr>
      <w:r>
        <w:rPr>
          <w:rFonts w:hint="eastAsia"/>
        </w:rPr>
        <w:t>两座及以上储存相同或性质相近物料储罐的气相空间通过管道连通，且每个储罐气相支线无压力控制阀排气控制设施，从而使多座储罐气相空间通过管道构成一个整体，达到储罐之前气相压力平衡的连接方式。</w:t>
      </w:r>
    </w:p>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废气输送单元</w:t>
      </w:r>
      <w:r>
        <w:rPr>
          <w:rFonts w:hint="eastAsia" w:ascii="黑体" w:hAnsi="黑体" w:eastAsia="黑体"/>
        </w:rPr>
        <w:t xml:space="preserve">  waste gas delivery unit</w:t>
      </w:r>
    </w:p>
    <w:p>
      <w:pPr>
        <w:pStyle w:val="58"/>
        <w:ind w:firstLine="420"/>
      </w:pPr>
      <w:r>
        <w:rPr>
          <w:rFonts w:hint="eastAsia"/>
        </w:rPr>
        <w:t>废气经收集总管输送到废气预处理单元的输送系统</w:t>
      </w:r>
    </w:p>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废气预处理单元</w:t>
      </w:r>
      <w:r>
        <w:rPr>
          <w:rFonts w:hint="eastAsia" w:ascii="黑体" w:hAnsi="黑体" w:eastAsia="黑体"/>
        </w:rPr>
        <w:t xml:space="preserve">  waste gas pretreatment unit</w:t>
      </w:r>
    </w:p>
    <w:p>
      <w:pPr>
        <w:pStyle w:val="58"/>
        <w:ind w:firstLine="420"/>
      </w:pPr>
      <w:r>
        <w:rPr>
          <w:rFonts w:hint="eastAsia"/>
        </w:rPr>
        <w:t>采用吸收工艺去除废气中部分组分的处理设施及其配套的公用工程系统的总称。</w:t>
      </w:r>
    </w:p>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负压总管</w:t>
      </w:r>
      <w:r>
        <w:rPr>
          <w:rFonts w:hint="eastAsia" w:ascii="黑体" w:hAnsi="黑体" w:eastAsia="黑体"/>
        </w:rPr>
        <w:t xml:space="preserve">  negative pressure main pipe</w:t>
      </w:r>
    </w:p>
    <w:p>
      <w:pPr>
        <w:pStyle w:val="58"/>
        <w:ind w:firstLine="420"/>
      </w:pPr>
      <w:r>
        <w:rPr>
          <w:rFonts w:hint="eastAsia"/>
        </w:rPr>
        <w:t>焦炉煤气的负压段荒煤气总管</w:t>
      </w:r>
    </w:p>
    <w:p>
      <w:pPr>
        <w:pStyle w:val="225"/>
        <w:ind w:left="420" w:hanging="420" w:hangingChars="200"/>
        <w:rPr>
          <w:rFonts w:ascii="黑体" w:hAnsi="黑体" w:eastAsia="黑体"/>
        </w:rPr>
      </w:pPr>
      <w:r>
        <w:rPr>
          <w:rFonts w:ascii="黑体" w:hAnsi="黑体" w:eastAsia="黑体"/>
        </w:rPr>
        <w:br w:type="textWrapping"/>
      </w:r>
      <w:r>
        <w:rPr>
          <w:rFonts w:ascii="黑体" w:hAnsi="黑体" w:eastAsia="黑体"/>
        </w:rPr>
        <w:t>末端处理单元</w:t>
      </w:r>
      <w:r>
        <w:rPr>
          <w:rFonts w:hint="eastAsia" w:ascii="黑体" w:hAnsi="黑体" w:eastAsia="黑体"/>
        </w:rPr>
        <w:t xml:space="preserve">  end processing unit</w:t>
      </w:r>
    </w:p>
    <w:p>
      <w:pPr>
        <w:pStyle w:val="58"/>
        <w:ind w:firstLine="420"/>
      </w:pPr>
      <w:r>
        <w:rPr>
          <w:rFonts w:hint="eastAsia"/>
        </w:rPr>
        <w:t>用燃烧法或进负压总管的方式对废气进行处理的装置。</w:t>
      </w:r>
    </w:p>
    <w:p>
      <w:pPr>
        <w:pStyle w:val="106"/>
        <w:spacing w:before="240" w:after="240"/>
      </w:pPr>
      <w:bookmarkStart w:id="43" w:name="_Toc152331785"/>
      <w:r>
        <w:t>基本要求</w:t>
      </w:r>
      <w:bookmarkEnd w:id="43"/>
    </w:p>
    <w:p>
      <w:pPr>
        <w:pStyle w:val="107"/>
        <w:spacing w:before="120" w:after="120"/>
        <w:rPr>
          <w:rFonts w:ascii="宋体" w:hAnsi="宋体" w:eastAsia="宋体"/>
        </w:rPr>
      </w:pPr>
      <w:bookmarkStart w:id="44" w:name="_Toc152331786"/>
      <w:r>
        <w:rPr>
          <w:rFonts w:ascii="宋体" w:hAnsi="宋体" w:eastAsia="宋体"/>
        </w:rPr>
        <w:t>煤气净化废气应设置集中的废气处理系统</w:t>
      </w:r>
      <w:bookmarkEnd w:id="44"/>
    </w:p>
    <w:p>
      <w:pPr>
        <w:pStyle w:val="107"/>
        <w:spacing w:before="120" w:after="120"/>
        <w:rPr>
          <w:rFonts w:ascii="宋体" w:hAnsi="宋体" w:eastAsia="宋体"/>
        </w:rPr>
      </w:pPr>
      <w:bookmarkStart w:id="45" w:name="_Toc152331787"/>
      <w:r>
        <w:rPr>
          <w:rFonts w:ascii="宋体" w:hAnsi="宋体" w:eastAsia="宋体"/>
        </w:rPr>
        <w:t>废气治理系统设计应选用安全可靠、技术先进、节能环保的工艺和设备。</w:t>
      </w:r>
      <w:bookmarkEnd w:id="45"/>
    </w:p>
    <w:p>
      <w:pPr>
        <w:pStyle w:val="107"/>
        <w:spacing w:before="120" w:after="120"/>
        <w:rPr>
          <w:rFonts w:ascii="宋体" w:hAnsi="宋体" w:eastAsia="宋体"/>
        </w:rPr>
      </w:pPr>
      <w:bookmarkStart w:id="46" w:name="_Toc152331788"/>
      <w:r>
        <w:rPr>
          <w:rFonts w:ascii="宋体" w:hAnsi="宋体" w:eastAsia="宋体"/>
        </w:rPr>
        <w:t>废气治理系统设计应符合煤气净化工艺过程中消防、安全、职业卫生和环境保护等要求。</w:t>
      </w:r>
      <w:bookmarkEnd w:id="46"/>
    </w:p>
    <w:p>
      <w:pPr>
        <w:pStyle w:val="107"/>
        <w:spacing w:before="120" w:after="120"/>
        <w:rPr>
          <w:rFonts w:ascii="宋体" w:hAnsi="宋体" w:eastAsia="宋体"/>
        </w:rPr>
      </w:pPr>
      <w:bookmarkStart w:id="47" w:name="_Toc152331789"/>
      <w:r>
        <w:rPr>
          <w:rFonts w:ascii="宋体" w:hAnsi="宋体" w:eastAsia="宋体"/>
        </w:rPr>
        <w:t>废气治理系统的设备、仪表和工艺管道的布置应便于</w:t>
      </w:r>
      <w:r>
        <w:rPr>
          <w:rFonts w:hint="eastAsia" w:ascii="宋体" w:hAnsi="宋体" w:eastAsia="宋体"/>
        </w:rPr>
        <w:t>安装、操作和检修，并不得影响既有装置的生产操作。</w:t>
      </w:r>
      <w:bookmarkEnd w:id="47"/>
    </w:p>
    <w:p>
      <w:pPr>
        <w:pStyle w:val="107"/>
        <w:spacing w:before="120" w:after="120"/>
        <w:rPr>
          <w:rFonts w:ascii="宋体" w:hAnsi="宋体" w:eastAsia="宋体"/>
        </w:rPr>
      </w:pPr>
      <w:bookmarkStart w:id="48" w:name="_Toc152331790"/>
      <w:r>
        <w:rPr>
          <w:rFonts w:ascii="宋体" w:hAnsi="宋体" w:eastAsia="宋体"/>
        </w:rPr>
        <w:t>废气治理系统设计应符合煤气净化工艺和安全保障的有关规定和标准的要求。</w:t>
      </w:r>
      <w:bookmarkEnd w:id="48"/>
    </w:p>
    <w:p>
      <w:pPr>
        <w:pStyle w:val="107"/>
        <w:spacing w:before="120" w:after="120"/>
        <w:rPr>
          <w:rFonts w:ascii="宋体" w:hAnsi="宋体" w:eastAsia="宋体"/>
        </w:rPr>
      </w:pPr>
      <w:bookmarkStart w:id="49" w:name="_Toc152331791"/>
      <w:r>
        <w:rPr>
          <w:rFonts w:ascii="宋体" w:hAnsi="宋体" w:eastAsia="宋体"/>
        </w:rPr>
        <w:t>对于改造项目，应对既有储罐的强度、无组织排放情况等（排放量、废气浓度、组成等）进行测量评估、全面校核，确认储罐是否需要进行结构改造，并根据现状，合理确定废气治理系统设计参数。</w:t>
      </w:r>
      <w:bookmarkEnd w:id="49"/>
    </w:p>
    <w:p>
      <w:pPr>
        <w:pStyle w:val="107"/>
        <w:spacing w:before="120" w:after="120"/>
        <w:rPr>
          <w:rFonts w:ascii="宋体" w:hAnsi="宋体" w:eastAsia="宋体"/>
        </w:rPr>
      </w:pPr>
      <w:bookmarkStart w:id="50" w:name="_Toc152331792"/>
      <w:r>
        <w:rPr>
          <w:rFonts w:ascii="宋体" w:hAnsi="宋体" w:eastAsia="宋体"/>
        </w:rPr>
        <w:t>废气治理系统的规模应根据废气逸散点设备的运行参数、物料性质和环境因素等综合确定。</w:t>
      </w:r>
      <w:bookmarkEnd w:id="50"/>
    </w:p>
    <w:p>
      <w:pPr>
        <w:pStyle w:val="107"/>
        <w:spacing w:before="120" w:after="120"/>
        <w:rPr>
          <w:rFonts w:ascii="宋体" w:hAnsi="宋体" w:eastAsia="宋体"/>
        </w:rPr>
      </w:pPr>
      <w:bookmarkStart w:id="51" w:name="_Toc152331793"/>
      <w:r>
        <w:rPr>
          <w:rFonts w:ascii="宋体" w:hAnsi="宋体" w:eastAsia="宋体"/>
        </w:rPr>
        <w:t>储罐宜采取罐体，罐顶设置隔热措施减少废气排放。</w:t>
      </w:r>
      <w:bookmarkEnd w:id="51"/>
    </w:p>
    <w:p>
      <w:pPr>
        <w:pStyle w:val="107"/>
        <w:spacing w:before="120" w:after="120"/>
      </w:pPr>
      <w:bookmarkStart w:id="52" w:name="_Toc152331794"/>
      <w:r>
        <w:t>废气气量确定</w:t>
      </w:r>
      <w:bookmarkEnd w:id="52"/>
    </w:p>
    <w:p>
      <w:pPr>
        <w:pStyle w:val="58"/>
        <w:ind w:firstLine="420"/>
      </w:pPr>
      <w:r>
        <w:rPr>
          <w:rFonts w:hint="eastAsia"/>
        </w:rPr>
        <w:t>煤气净化废气来自储罐产生的气量、挥发性有机液体装载作业排气量、敞口设施排气量。储罐产生气量包括大呼吸产生气量、进料温度高于罐内物料温度导致的蒸发量、小呼吸产生气量。</w:t>
      </w:r>
    </w:p>
    <w:p>
      <w:pPr>
        <w:pStyle w:val="67"/>
        <w:spacing w:before="120" w:after="120"/>
      </w:pPr>
      <w:bookmarkStart w:id="53" w:name="_Toc152331795"/>
      <w:r>
        <w:t>储罐大呼吸气量</w:t>
      </w:r>
      <w:bookmarkEnd w:id="53"/>
    </w:p>
    <w:p>
      <w:pPr>
        <w:pStyle w:val="58"/>
        <w:ind w:firstLine="420"/>
      </w:pPr>
      <w:r>
        <w:rPr>
          <w:rFonts w:hint="eastAsia"/>
        </w:rPr>
        <w:t>储罐大呼吸气量是因液体进入储罐时所造成的罐内气体呼出量和液体出储罐时所造成的储罐吸入的空气量或补充的氮气量，应符合SH/T 3007的规定。</w:t>
      </w:r>
    </w:p>
    <w:p>
      <w:pPr>
        <w:pStyle w:val="67"/>
        <w:spacing w:before="120" w:after="120"/>
      </w:pPr>
      <w:bookmarkStart w:id="54" w:name="_Toc152331796"/>
      <w:r>
        <w:t>储罐小呼吸气量</w:t>
      </w:r>
      <w:bookmarkEnd w:id="54"/>
    </w:p>
    <w:p>
      <w:pPr>
        <w:pStyle w:val="58"/>
        <w:ind w:firstLine="420"/>
      </w:pPr>
      <w:r>
        <w:rPr>
          <w:rFonts w:hint="eastAsia"/>
        </w:rPr>
        <w:t>储罐小呼吸气量为储罐气相空间因大气最大温导致罐内气体收缩所造成储罐吸入的空气量或需补充的氮气量和因最大温导致罐内气体膨胀而呼出的气量，应符合HJ 1094的规定，可取储罐内气相空间因大气最大温升导致罐内气体膨胀而呼出的气量，并根据槽罐的容积、储液比例、气温变化规律估算，计算见公式（1）：</w:t>
      </w:r>
    </w:p>
    <w:p>
      <w:pPr>
        <w:pStyle w:val="115"/>
      </w:pPr>
      <w:r>
        <w:tab/>
      </w:r>
      <m:oMath>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S</m:t>
            </m:r>
            <m:ctrlPr>
              <w:rPr>
                <w:rFonts w:ascii="Cambria Math" w:hAnsi="Cambria Math"/>
              </w:rPr>
            </m:ctrlPr>
          </m:sub>
        </m:sSub>
        <m:r>
          <m:rPr>
            <m:sty m:val="p"/>
          </m:rPr>
          <w:rPr>
            <w:rFonts w:ascii="Cambria Math" w:hAnsi="Cambria Math"/>
          </w:rPr>
          <m:t>=</m:t>
        </m:r>
        <m:sSub>
          <m:sSubPr>
            <m:ctrlPr>
              <w:rPr>
                <w:rFonts w:ascii="Cambria Math" w:hAnsi="Cambria Math"/>
              </w:rPr>
            </m:ctrlPr>
          </m:sSubPr>
          <m:e>
            <m:r>
              <m:rPr/>
              <w:rPr>
                <w:rFonts w:ascii="Cambria Math" w:hAnsi="Cambria Math"/>
              </w:rPr>
              <m:t>V</m:t>
            </m:r>
            <m:ctrlPr>
              <w:rPr>
                <w:rFonts w:ascii="Cambria Math" w:hAnsi="Cambria Math"/>
              </w:rPr>
            </m:ctrlPr>
          </m:e>
          <m:sub>
            <m:r>
              <m:rPr/>
              <w:rPr>
                <w:rFonts w:ascii="Cambria Math" w:hAnsi="Cambria Math"/>
              </w:rPr>
              <m:t>T</m:t>
            </m:r>
            <m:ctrlPr>
              <w:rPr>
                <w:rFonts w:ascii="Cambria Math" w:hAnsi="Cambria Math"/>
              </w:rPr>
            </m:ctrlPr>
          </m:sub>
        </m:sSub>
        <m:r>
          <m:rPr/>
          <w:rPr>
            <w:rFonts w:ascii="Cambria Math" w:hAnsi="Cambria Math"/>
          </w:rPr>
          <m:t>×</m:t>
        </m:r>
        <m:d>
          <m:dPr>
            <m:ctrlPr>
              <w:rPr>
                <w:rFonts w:ascii="Cambria Math" w:hAnsi="Cambria Math"/>
                <w:i/>
              </w:rPr>
            </m:ctrlPr>
          </m:dPr>
          <m:e>
            <m:r>
              <m:rPr/>
              <w:rPr>
                <w:rFonts w:ascii="Cambria Math" w:hAnsi="Cambria Math"/>
              </w:rPr>
              <m:t>1−α</m:t>
            </m:r>
            <m:ctrlPr>
              <w:rPr>
                <w:rFonts w:ascii="Cambria Math" w:hAnsi="Cambria Math"/>
                <w:i/>
              </w:rPr>
            </m:ctrlPr>
          </m:e>
        </m:d>
        <m:r>
          <m:rPr/>
          <w:rPr>
            <w:rFonts w:ascii="Cambria Math" w:hAnsi="Cambria Math"/>
          </w:rPr>
          <m:t>×</m:t>
        </m:r>
        <m:f>
          <m:fPr>
            <m:ctrlPr>
              <w:rPr>
                <w:rFonts w:ascii="Cambria Math" w:hAnsi="Cambria Math"/>
                <w:i/>
              </w:rPr>
            </m:ctrlPr>
          </m:fPr>
          <m:num>
            <m:r>
              <m:rPr/>
              <w:rPr>
                <w:rFonts w:ascii="Cambria Math" w:hAnsi="Cambria Math"/>
              </w:rPr>
              <m:t>∆t</m:t>
            </m:r>
            <m:ctrlPr>
              <w:rPr>
                <w:rFonts w:ascii="Cambria Math" w:hAnsi="Cambria Math"/>
                <w:i/>
              </w:rPr>
            </m:ctrlPr>
          </m:num>
          <m:den>
            <m:r>
              <m:rPr/>
              <w:rPr>
                <w:rFonts w:ascii="Cambria Math" w:hAnsi="Cambria Math"/>
              </w:rPr>
              <m:t>273+t</m:t>
            </m:r>
            <m:ctrlPr>
              <w:rPr>
                <w:rFonts w:ascii="Cambria Math" w:hAnsi="Cambria Math"/>
                <w:i/>
              </w:rPr>
            </m:ctrlPr>
          </m:den>
        </m:f>
      </m:oMath>
      <w:r>
        <w:rPr>
          <w:rFonts w:ascii="微软雅黑" w:hAnsi="微软雅黑" w:eastAsia="微软雅黑"/>
        </w:rPr>
        <w:tab/>
      </w:r>
      <w:r>
        <w:t>(</w:t>
      </w:r>
      <w:r>
        <w:fldChar w:fldCharType="begin"/>
      </w:r>
      <w:r>
        <w:instrText xml:space="preserve"> AUTONUM </w:instrText>
      </w:r>
      <w:r>
        <w:fldChar w:fldCharType="end"/>
      </w:r>
      <w:r>
        <w:t>)</w:t>
      </w:r>
    </w:p>
    <w:p>
      <w:pPr>
        <w:pStyle w:val="58"/>
        <w:ind w:firstLine="420"/>
      </w:pPr>
      <w:r>
        <w:t>式中：</w:t>
      </w:r>
    </w:p>
    <w:p>
      <w:pPr>
        <w:pStyle w:val="181"/>
        <w:numPr>
          <w:ilvl w:val="0"/>
          <w:numId w:val="0"/>
        </w:numPr>
        <w:ind w:left="737" w:hanging="374"/>
        <w:rPr>
          <w:rFonts w:hint="eastAsia" w:ascii="Cambria Math" w:hAnsi="Cambria Math"/>
          <w:sz w:val="21"/>
          <w:szCs w:val="21"/>
        </w:rPr>
      </w:pPr>
      <w:r>
        <w:rPr>
          <w:rFonts w:hint="eastAsia" w:ascii="Cambria Math" w:hAnsi="Cambria Math"/>
          <w:i/>
          <w:kern w:val="2"/>
          <w:sz w:val="21"/>
          <w:szCs w:val="21"/>
        </w:rPr>
        <w:t>V</w:t>
      </w:r>
      <w:r>
        <w:rPr>
          <w:rFonts w:hint="eastAsia" w:ascii="Cambria Math" w:hAnsi="Cambria Math"/>
          <w:i/>
          <w:kern w:val="2"/>
          <w:sz w:val="21"/>
          <w:szCs w:val="21"/>
          <w:vertAlign w:val="subscript"/>
        </w:rPr>
        <w:t xml:space="preserve">S </w:t>
      </w:r>
      <w:r>
        <w:rPr>
          <w:rFonts w:hint="eastAsia" w:ascii="Cambria Math" w:hAnsi="Cambria Math"/>
          <w:sz w:val="21"/>
          <w:szCs w:val="21"/>
        </w:rPr>
        <w:t>——储罐小呼吸产生气量，单位为（m</w:t>
      </w:r>
      <w:r>
        <w:rPr>
          <w:rFonts w:hint="eastAsia" w:ascii="Cambria Math" w:hAnsi="Cambria Math"/>
          <w:sz w:val="21"/>
          <w:szCs w:val="21"/>
          <w:vertAlign w:val="superscript"/>
        </w:rPr>
        <w:t>3</w:t>
      </w:r>
      <w:r>
        <w:rPr>
          <w:rFonts w:hint="eastAsia" w:ascii="Cambria Math" w:hAnsi="Cambria Math"/>
          <w:sz w:val="21"/>
          <w:szCs w:val="21"/>
        </w:rPr>
        <w:t>/h）；</w:t>
      </w:r>
    </w:p>
    <w:p>
      <w:pPr>
        <w:pStyle w:val="181"/>
        <w:numPr>
          <w:ilvl w:val="0"/>
          <w:numId w:val="0"/>
        </w:numPr>
        <w:ind w:left="737" w:hanging="374"/>
        <w:rPr>
          <w:rFonts w:hint="eastAsia" w:ascii="Cambria Math" w:hAnsi="Cambria Math"/>
          <w:sz w:val="21"/>
          <w:szCs w:val="21"/>
        </w:rPr>
      </w:pPr>
      <w:r>
        <w:rPr>
          <w:rFonts w:hint="eastAsia" w:ascii="Cambria Math" w:hAnsi="Cambria Math"/>
          <w:i/>
          <w:kern w:val="2"/>
          <w:sz w:val="21"/>
          <w:szCs w:val="21"/>
        </w:rPr>
        <w:t>V</w:t>
      </w:r>
      <w:r>
        <w:rPr>
          <w:rFonts w:hint="eastAsia" w:ascii="Cambria Math" w:hAnsi="Cambria Math"/>
          <w:i/>
          <w:kern w:val="2"/>
          <w:sz w:val="21"/>
          <w:szCs w:val="21"/>
          <w:vertAlign w:val="subscript"/>
        </w:rPr>
        <w:t xml:space="preserve">T </w:t>
      </w:r>
      <w:r>
        <w:rPr>
          <w:rFonts w:hint="eastAsia" w:ascii="Cambria Math" w:hAnsi="Cambria Math"/>
          <w:sz w:val="21"/>
          <w:szCs w:val="21"/>
        </w:rPr>
        <w:t>——储罐容积，单位为（m</w:t>
      </w:r>
      <w:r>
        <w:rPr>
          <w:rFonts w:hint="eastAsia" w:ascii="Cambria Math" w:hAnsi="Cambria Math"/>
          <w:sz w:val="21"/>
          <w:szCs w:val="21"/>
          <w:vertAlign w:val="superscript"/>
        </w:rPr>
        <w:t>3</w:t>
      </w:r>
      <w:r>
        <w:rPr>
          <w:rFonts w:hint="eastAsia" w:ascii="Cambria Math" w:hAnsi="Cambria Math"/>
          <w:sz w:val="21"/>
          <w:szCs w:val="21"/>
        </w:rPr>
        <w:t>）；</w:t>
      </w:r>
    </w:p>
    <w:p>
      <w:pPr>
        <w:pStyle w:val="181"/>
        <w:numPr>
          <w:ilvl w:val="0"/>
          <w:numId w:val="0"/>
        </w:numPr>
        <w:ind w:left="737" w:hanging="374"/>
        <w:rPr>
          <w:rFonts w:hint="eastAsia" w:ascii="Cambria Math" w:hAnsi="Cambria Math"/>
          <w:szCs w:val="21"/>
        </w:rPr>
      </w:pPr>
      <w:r>
        <w:rPr>
          <w:rFonts w:ascii="Cambria Math" w:hAnsi="Cambria Math"/>
          <w:i/>
          <w:kern w:val="2"/>
          <w:sz w:val="21"/>
          <w:szCs w:val="21"/>
        </w:rPr>
        <w:t>α</w:t>
      </w:r>
      <w:r>
        <w:rPr>
          <w:rFonts w:hint="eastAsia" w:ascii="Cambria Math" w:hAnsi="Cambria Math"/>
          <w:i/>
          <w:kern w:val="2"/>
          <w:szCs w:val="21"/>
        </w:rPr>
        <w:t xml:space="preserve">  </w:t>
      </w:r>
      <w:r>
        <w:rPr>
          <w:rFonts w:hint="eastAsia" w:ascii="Cambria Math" w:hAnsi="Cambria Math"/>
          <w:sz w:val="21"/>
          <w:szCs w:val="21"/>
        </w:rPr>
        <w:t>——储罐储液比例。根据实际生产取值，单位为（%）</w:t>
      </w:r>
      <w:r>
        <w:rPr>
          <w:rFonts w:hint="eastAsia" w:ascii="Cambria Math" w:hAnsi="Cambria Math"/>
          <w:szCs w:val="21"/>
        </w:rPr>
        <w:t>；</w:t>
      </w:r>
    </w:p>
    <w:p>
      <w:pPr>
        <w:pStyle w:val="181"/>
        <w:numPr>
          <w:ilvl w:val="0"/>
          <w:numId w:val="0"/>
        </w:numPr>
        <w:ind w:left="737" w:hanging="374"/>
        <w:rPr>
          <w:rFonts w:hint="eastAsia" w:ascii="Cambria Math" w:hAnsi="Cambria Math"/>
          <w:sz w:val="21"/>
          <w:szCs w:val="21"/>
        </w:rPr>
      </w:pPr>
      <w:r>
        <w:rPr>
          <w:rFonts w:ascii="Cambria Math" w:hAnsi="Cambria Math"/>
          <w:i/>
          <w:kern w:val="2"/>
          <w:sz w:val="21"/>
        </w:rPr>
        <w:t>Δt</w:t>
      </w:r>
      <w:r>
        <w:rPr>
          <w:rFonts w:hint="eastAsia" w:ascii="Cambria Math" w:hAnsi="Cambria Math"/>
          <w:i/>
          <w:kern w:val="2"/>
          <w:szCs w:val="21"/>
        </w:rPr>
        <w:t xml:space="preserve"> </w:t>
      </w:r>
      <w:r>
        <w:rPr>
          <w:rFonts w:hint="eastAsia" w:ascii="Cambria Math" w:hAnsi="Cambria Math"/>
          <w:sz w:val="21"/>
          <w:szCs w:val="21"/>
        </w:rPr>
        <w:t>——小时温度变化量，根据当地环境温度变化及储罐是否加热、保温，综合考虑取值，单位为（</w:t>
      </w:r>
      <w:r>
        <w:rPr>
          <w:rFonts w:hint="eastAsia" w:ascii="微软雅黑" w:hAnsi="微软雅黑" w:eastAsia="微软雅黑" w:cs="微软雅黑"/>
          <w:sz w:val="21"/>
          <w:szCs w:val="21"/>
        </w:rPr>
        <w:t>℃</w:t>
      </w:r>
      <w:r>
        <w:rPr>
          <w:rFonts w:hint="eastAsia" w:ascii="Cambria Math" w:hAnsi="Cambria Math"/>
          <w:sz w:val="21"/>
          <w:szCs w:val="21"/>
        </w:rPr>
        <w:t xml:space="preserve"> ）；</w:t>
      </w:r>
    </w:p>
    <w:p>
      <w:pPr>
        <w:pStyle w:val="58"/>
        <w:ind w:firstLine="420"/>
        <w:rPr>
          <w:rFonts w:hint="eastAsia" w:ascii="Cambria Math" w:hAnsi="Cambria Math"/>
          <w:szCs w:val="21"/>
        </w:rPr>
      </w:pPr>
      <w:r>
        <w:rPr>
          <w:rFonts w:ascii="Cambria Math" w:hAnsi="Cambria Math"/>
          <w:i/>
          <w:kern w:val="2"/>
          <w:szCs w:val="18"/>
        </w:rPr>
        <w:t>T</w:t>
      </w:r>
      <w:r>
        <w:rPr>
          <w:rFonts w:hint="eastAsia" w:ascii="Cambria Math" w:hAnsi="Cambria Math"/>
          <w:i/>
          <w:kern w:val="2"/>
          <w:szCs w:val="18"/>
        </w:rPr>
        <w:t xml:space="preserve"> </w:t>
      </w:r>
      <w:r>
        <w:rPr>
          <w:rFonts w:hint="eastAsia" w:ascii="Cambria Math" w:hAnsi="Cambria Math"/>
          <w:szCs w:val="21"/>
        </w:rPr>
        <w:t xml:space="preserve">——起始温度，根据最大温差时取低温值（储罐未加热及保温），储罐加热且保温是，宜取储罐稳定加热后的油品温度，单位为（ </w:t>
      </w:r>
      <w:r>
        <w:rPr>
          <w:rFonts w:hint="eastAsia" w:ascii="微软雅黑" w:hAnsi="微软雅黑" w:eastAsia="微软雅黑" w:cs="微软雅黑"/>
          <w:szCs w:val="21"/>
        </w:rPr>
        <w:t>℃</w:t>
      </w:r>
      <w:r>
        <w:rPr>
          <w:rFonts w:hint="eastAsia" w:ascii="Cambria Math" w:hAnsi="Cambria Math"/>
          <w:szCs w:val="21"/>
        </w:rPr>
        <w:t>）。</w:t>
      </w:r>
    </w:p>
    <w:p>
      <w:pPr>
        <w:pStyle w:val="67"/>
        <w:spacing w:before="120" w:after="120"/>
        <w:rPr>
          <w:rFonts w:ascii="宋体" w:hAnsi="宋体" w:eastAsia="宋体"/>
        </w:rPr>
      </w:pPr>
      <w:bookmarkStart w:id="55" w:name="_Toc152331797"/>
      <w:r>
        <w:rPr>
          <w:rFonts w:ascii="宋体" w:hAnsi="宋体" w:eastAsia="宋体"/>
        </w:rPr>
        <w:t>挥发性有机液体装载作业排气量应符合</w:t>
      </w:r>
      <w:r>
        <w:rPr>
          <w:rFonts w:hint="eastAsia" w:ascii="宋体" w:hAnsi="宋体" w:eastAsia="宋体"/>
        </w:rPr>
        <w:t>HJ 1094的规定。</w:t>
      </w:r>
      <w:bookmarkEnd w:id="55"/>
    </w:p>
    <w:p>
      <w:pPr>
        <w:pStyle w:val="67"/>
        <w:spacing w:before="120" w:after="120"/>
        <w:rPr>
          <w:rFonts w:ascii="宋体" w:hAnsi="宋体" w:eastAsia="宋体"/>
        </w:rPr>
      </w:pPr>
      <w:bookmarkStart w:id="56" w:name="_Toc152331798"/>
      <w:r>
        <w:rPr>
          <w:rFonts w:hint="eastAsia" w:ascii="宋体" w:hAnsi="宋体" w:eastAsia="宋体"/>
        </w:rPr>
        <w:t>敞口设施排气量，宜根据物料进入量按4.9.3计算。</w:t>
      </w:r>
      <w:bookmarkEnd w:id="56"/>
    </w:p>
    <w:p>
      <w:pPr>
        <w:pStyle w:val="107"/>
        <w:spacing w:before="120" w:after="120"/>
        <w:rPr>
          <w:rFonts w:ascii="宋体" w:hAnsi="宋体" w:eastAsia="宋体"/>
        </w:rPr>
      </w:pPr>
      <w:bookmarkStart w:id="57" w:name="_Toc152331799"/>
      <w:r>
        <w:rPr>
          <w:rFonts w:hint="eastAsia" w:ascii="宋体" w:hAnsi="宋体" w:eastAsia="宋体"/>
        </w:rPr>
        <w:t>氮封气量应包含液体出料量和储罐气相空间因大气最大温导致罐内气体收缩所造成储罐吸入的气量（同公式（1））之和，实际设计氮封气量宜按SH/T 3007中表5.1.6选取。</w:t>
      </w:r>
      <w:bookmarkEnd w:id="57"/>
    </w:p>
    <w:p>
      <w:pPr>
        <w:pStyle w:val="107"/>
        <w:spacing w:before="120" w:after="120"/>
        <w:rPr>
          <w:rFonts w:ascii="宋体" w:hAnsi="宋体" w:eastAsia="宋体"/>
        </w:rPr>
      </w:pPr>
      <w:bookmarkStart w:id="58" w:name="_Toc152331800"/>
      <w:r>
        <w:rPr>
          <w:rFonts w:hint="eastAsia" w:ascii="宋体" w:hAnsi="宋体" w:eastAsia="宋体"/>
        </w:rPr>
        <w:t>废气治理系统应开展HAZOP分析和LOPA分析，有SLL定级的回路应采用安全仪表系统。</w:t>
      </w:r>
      <w:bookmarkEnd w:id="58"/>
    </w:p>
    <w:p>
      <w:pPr>
        <w:pStyle w:val="107"/>
        <w:spacing w:before="120" w:after="120"/>
        <w:rPr>
          <w:rFonts w:ascii="宋体" w:hAnsi="宋体" w:eastAsia="宋体"/>
        </w:rPr>
      </w:pPr>
      <w:bookmarkStart w:id="59" w:name="_Toc152331801"/>
      <w:r>
        <w:rPr>
          <w:rFonts w:hint="eastAsia" w:ascii="宋体" w:hAnsi="宋体" w:eastAsia="宋体"/>
        </w:rPr>
        <w:t>废气治理系统的爆炸危险区域划分应符合GB 50058的规定。</w:t>
      </w:r>
      <w:bookmarkEnd w:id="59"/>
    </w:p>
    <w:p>
      <w:pPr>
        <w:pStyle w:val="107"/>
        <w:spacing w:before="120" w:after="120"/>
        <w:rPr>
          <w:rFonts w:ascii="宋体" w:hAnsi="宋体" w:eastAsia="宋体"/>
        </w:rPr>
      </w:pPr>
      <w:bookmarkStart w:id="60" w:name="_Toc152331802"/>
      <w:r>
        <w:rPr>
          <w:rFonts w:hint="eastAsia" w:ascii="宋体" w:hAnsi="宋体" w:eastAsia="宋体"/>
        </w:rPr>
        <w:t>当储罐采用氮封系统时，宜维持储罐微正压。</w:t>
      </w:r>
      <w:bookmarkEnd w:id="60"/>
    </w:p>
    <w:p>
      <w:pPr>
        <w:pStyle w:val="107"/>
        <w:spacing w:before="120" w:after="120"/>
        <w:rPr>
          <w:rFonts w:ascii="宋体" w:hAnsi="宋体" w:eastAsia="宋体"/>
        </w:rPr>
      </w:pPr>
      <w:bookmarkStart w:id="61" w:name="_Toc152331803"/>
      <w:r>
        <w:rPr>
          <w:rFonts w:hint="eastAsia" w:ascii="宋体" w:hAnsi="宋体" w:eastAsia="宋体"/>
        </w:rPr>
        <w:t>废气预处理单元油洗塔宜采用焦油洗油作为吸收剂。</w:t>
      </w:r>
      <w:bookmarkEnd w:id="61"/>
    </w:p>
    <w:p>
      <w:pPr>
        <w:pStyle w:val="107"/>
        <w:spacing w:before="120" w:after="120"/>
        <w:rPr>
          <w:rFonts w:ascii="宋体" w:hAnsi="宋体" w:eastAsia="宋体"/>
        </w:rPr>
      </w:pPr>
      <w:bookmarkStart w:id="62" w:name="_Toc152331804"/>
      <w:r>
        <w:rPr>
          <w:rFonts w:hint="eastAsia" w:ascii="宋体" w:hAnsi="宋体" w:eastAsia="宋体"/>
        </w:rPr>
        <w:t>废气治理系统的挥发性气体无组织排放指标应符合GB 37822的规定。</w:t>
      </w:r>
      <w:bookmarkEnd w:id="62"/>
    </w:p>
    <w:p>
      <w:pPr>
        <w:pStyle w:val="107"/>
        <w:spacing w:before="120" w:after="120"/>
        <w:rPr>
          <w:rFonts w:ascii="宋体" w:hAnsi="宋体" w:eastAsia="宋体"/>
        </w:rPr>
      </w:pPr>
      <w:bookmarkStart w:id="63" w:name="_Toc152331805"/>
      <w:r>
        <w:rPr>
          <w:rFonts w:hint="eastAsia" w:ascii="宋体" w:hAnsi="宋体" w:eastAsia="宋体"/>
        </w:rPr>
        <w:t>煤气净化废气设置废气治理系统后，区域排放因子指标应符合GB 16171或当地相关排放标准要求。</w:t>
      </w:r>
      <w:bookmarkEnd w:id="63"/>
    </w:p>
    <w:p>
      <w:pPr>
        <w:pStyle w:val="107"/>
        <w:spacing w:before="120" w:after="120"/>
        <w:rPr>
          <w:rFonts w:ascii="宋体" w:hAnsi="宋体" w:eastAsia="宋体"/>
        </w:rPr>
      </w:pPr>
      <w:bookmarkStart w:id="64" w:name="_Toc152331806"/>
      <w:r>
        <w:rPr>
          <w:rFonts w:hint="eastAsia" w:ascii="宋体" w:hAnsi="宋体" w:eastAsia="宋体"/>
        </w:rPr>
        <w:t>末端处理单元宜采用蓄热燃烧法（RTO）</w:t>
      </w:r>
      <w:bookmarkEnd w:id="64"/>
    </w:p>
    <w:p>
      <w:pPr>
        <w:pStyle w:val="107"/>
        <w:spacing w:before="120" w:after="120"/>
        <w:rPr>
          <w:rFonts w:ascii="宋体" w:hAnsi="宋体" w:eastAsia="宋体"/>
        </w:rPr>
      </w:pPr>
      <w:bookmarkStart w:id="65" w:name="_Toc152331807"/>
      <w:r>
        <w:rPr>
          <w:rFonts w:hint="eastAsia" w:ascii="宋体" w:hAnsi="宋体" w:eastAsia="宋体"/>
        </w:rPr>
        <w:t>废气治理系统的排气筒及附件的设置应符合下列要求：</w:t>
      </w:r>
      <w:bookmarkEnd w:id="65"/>
    </w:p>
    <w:p>
      <w:pPr>
        <w:pStyle w:val="67"/>
        <w:spacing w:before="120" w:after="120"/>
        <w:rPr>
          <w:rFonts w:ascii="宋体" w:hAnsi="宋体" w:eastAsia="宋体"/>
        </w:rPr>
      </w:pPr>
      <w:bookmarkStart w:id="66" w:name="_Toc152331808"/>
      <w:r>
        <w:rPr>
          <w:rFonts w:hint="eastAsia" w:ascii="宋体" w:hAnsi="宋体" w:eastAsia="宋体"/>
        </w:rPr>
        <w:t>排气筒的高度不应低于15m；</w:t>
      </w:r>
      <w:bookmarkEnd w:id="66"/>
    </w:p>
    <w:p>
      <w:pPr>
        <w:pStyle w:val="67"/>
        <w:spacing w:before="120" w:after="120"/>
        <w:rPr>
          <w:rFonts w:ascii="宋体" w:hAnsi="宋体" w:eastAsia="宋体"/>
        </w:rPr>
      </w:pPr>
      <w:bookmarkStart w:id="67" w:name="_Toc152331809"/>
      <w:r>
        <w:rPr>
          <w:rFonts w:hint="eastAsia" w:ascii="宋体" w:hAnsi="宋体" w:eastAsia="宋体"/>
        </w:rPr>
        <w:t>排气筒应按照GB/T 16157设置采样口和平台；</w:t>
      </w:r>
      <w:bookmarkEnd w:id="67"/>
    </w:p>
    <w:p>
      <w:pPr>
        <w:pStyle w:val="67"/>
        <w:spacing w:before="120" w:after="120"/>
        <w:rPr>
          <w:rFonts w:ascii="宋体" w:hAnsi="宋体" w:eastAsia="宋体"/>
        </w:rPr>
      </w:pPr>
      <w:bookmarkStart w:id="68" w:name="_Toc152331810"/>
      <w:r>
        <w:rPr>
          <w:rFonts w:hint="eastAsia" w:ascii="宋体" w:hAnsi="宋体" w:eastAsia="宋体"/>
        </w:rPr>
        <w:t>排气筒应高出20m范围内的平台或建筑物顶3.5m以上，</w:t>
      </w:r>
      <w:bookmarkEnd w:id="68"/>
    </w:p>
    <w:p>
      <w:pPr>
        <w:pStyle w:val="107"/>
        <w:spacing w:before="120" w:after="120"/>
        <w:rPr>
          <w:rFonts w:ascii="宋体" w:hAnsi="宋体" w:eastAsia="宋体"/>
        </w:rPr>
      </w:pPr>
      <w:bookmarkStart w:id="69" w:name="_Toc152331811"/>
      <w:r>
        <w:rPr>
          <w:rFonts w:hint="eastAsia" w:ascii="宋体" w:hAnsi="宋体" w:eastAsia="宋体"/>
        </w:rPr>
        <w:t>储罐检修放散口高度应满足以下规定：</w:t>
      </w:r>
      <w:bookmarkEnd w:id="69"/>
    </w:p>
    <w:p>
      <w:pPr>
        <w:pStyle w:val="67"/>
        <w:spacing w:before="120" w:after="120"/>
        <w:rPr>
          <w:rFonts w:ascii="宋体" w:hAnsi="宋体" w:eastAsia="宋体"/>
        </w:rPr>
      </w:pPr>
      <w:bookmarkStart w:id="70" w:name="_Toc152331812"/>
      <w:r>
        <w:rPr>
          <w:rFonts w:hint="eastAsia" w:ascii="宋体" w:hAnsi="宋体" w:eastAsia="宋体"/>
        </w:rPr>
        <w:t>地上储罐，应高出本设备2m以上，且应高出相邻有人操作的最高设备操作平台；</w:t>
      </w:r>
      <w:bookmarkEnd w:id="70"/>
    </w:p>
    <w:p>
      <w:pPr>
        <w:pStyle w:val="67"/>
        <w:spacing w:before="120" w:after="120"/>
        <w:rPr>
          <w:rFonts w:ascii="宋体" w:hAnsi="宋体" w:eastAsia="宋体"/>
        </w:rPr>
      </w:pPr>
      <w:bookmarkStart w:id="71" w:name="_Toc152331813"/>
      <w:r>
        <w:rPr>
          <w:rFonts w:hint="eastAsia" w:ascii="宋体" w:hAnsi="宋体" w:eastAsia="宋体"/>
        </w:rPr>
        <w:t>地上放空槽，应高出地面2m以上，且应高出相邻有人操作的最高设备操作平台2m以上。</w:t>
      </w:r>
      <w:bookmarkEnd w:id="71"/>
    </w:p>
    <w:p>
      <w:pPr>
        <w:pStyle w:val="107"/>
        <w:spacing w:before="120" w:after="120"/>
        <w:rPr>
          <w:rFonts w:ascii="宋体" w:hAnsi="宋体" w:eastAsia="宋体"/>
        </w:rPr>
      </w:pPr>
      <w:bookmarkStart w:id="72" w:name="_Toc152331814"/>
      <w:r>
        <w:rPr>
          <w:rFonts w:hint="eastAsia" w:ascii="宋体" w:hAnsi="宋体" w:eastAsia="宋体"/>
        </w:rPr>
        <w:t>采用RTO工艺的末端处理单元应设置事故紧急排气筒，事故紧急排气筒不宜与RTO共用排气筒，并应符合下列规定：</w:t>
      </w:r>
      <w:bookmarkEnd w:id="72"/>
    </w:p>
    <w:p>
      <w:pPr>
        <w:pStyle w:val="134"/>
      </w:pPr>
      <w:bookmarkStart w:id="73" w:name="_Toc152331815"/>
      <w:r>
        <w:t>事故紧急排气筒管径不宜小于主管道管径两个口径等级。</w:t>
      </w:r>
      <w:bookmarkEnd w:id="73"/>
    </w:p>
    <w:p>
      <w:pPr>
        <w:pStyle w:val="134"/>
      </w:pPr>
      <w:bookmarkStart w:id="74" w:name="_Toc152331816"/>
      <w:r>
        <w:t>事故紧急排气筒顶部应高出地面</w:t>
      </w:r>
      <w:r>
        <w:rPr>
          <w:rFonts w:hint="eastAsia"/>
        </w:rPr>
        <w:t>4m及以上，并应设置挡雨帽和爆燃型阻火器。</w:t>
      </w:r>
      <w:bookmarkEnd w:id="74"/>
    </w:p>
    <w:p>
      <w:pPr>
        <w:pStyle w:val="106"/>
        <w:spacing w:before="240" w:after="240"/>
      </w:pPr>
      <w:bookmarkStart w:id="75" w:name="_Toc152331817"/>
      <w:r>
        <w:t>平面布置</w:t>
      </w:r>
      <w:bookmarkEnd w:id="75"/>
    </w:p>
    <w:p>
      <w:pPr>
        <w:pStyle w:val="107"/>
        <w:spacing w:before="120" w:after="120"/>
        <w:rPr>
          <w:rFonts w:ascii="宋体" w:hAnsi="宋体" w:eastAsia="宋体"/>
        </w:rPr>
      </w:pPr>
      <w:bookmarkStart w:id="76" w:name="_Toc152331818"/>
      <w:r>
        <w:rPr>
          <w:rFonts w:ascii="宋体" w:hAnsi="宋体" w:eastAsia="宋体"/>
        </w:rPr>
        <w:t>废气预处理单元宜靠近煤气净化废气排放源布置。</w:t>
      </w:r>
      <w:bookmarkEnd w:id="76"/>
    </w:p>
    <w:p>
      <w:pPr>
        <w:pStyle w:val="107"/>
        <w:spacing w:before="120" w:after="120"/>
        <w:rPr>
          <w:rFonts w:ascii="宋体" w:hAnsi="宋体" w:eastAsia="宋体"/>
        </w:rPr>
      </w:pPr>
      <w:bookmarkStart w:id="77" w:name="_Toc152331819"/>
      <w:r>
        <w:rPr>
          <w:rFonts w:ascii="宋体" w:hAnsi="宋体" w:eastAsia="宋体"/>
        </w:rPr>
        <w:t>废气预处理单元宜布置在人员集中场所、明火或散发火花地点的全年最小频率风向的上风侧。</w:t>
      </w:r>
      <w:bookmarkEnd w:id="77"/>
    </w:p>
    <w:p>
      <w:pPr>
        <w:pStyle w:val="107"/>
        <w:spacing w:before="120" w:after="120"/>
        <w:rPr>
          <w:rFonts w:ascii="宋体" w:hAnsi="宋体" w:eastAsia="宋体"/>
        </w:rPr>
      </w:pPr>
      <w:bookmarkStart w:id="78" w:name="_Toc152331820"/>
      <w:r>
        <w:rPr>
          <w:rFonts w:ascii="宋体" w:hAnsi="宋体" w:eastAsia="宋体"/>
        </w:rPr>
        <w:t>布置在汽车装卸车设施、火车装卸设施内的废气预处理单元应符合</w:t>
      </w:r>
      <w:r>
        <w:rPr>
          <w:rFonts w:hint="eastAsia" w:ascii="宋体" w:hAnsi="宋体" w:eastAsia="宋体"/>
        </w:rPr>
        <w:t>GB/T 50759的规定。</w:t>
      </w:r>
      <w:bookmarkEnd w:id="78"/>
    </w:p>
    <w:p>
      <w:pPr>
        <w:pStyle w:val="107"/>
        <w:spacing w:before="120" w:after="120"/>
        <w:rPr>
          <w:rFonts w:ascii="宋体" w:hAnsi="宋体" w:eastAsia="宋体"/>
        </w:rPr>
      </w:pPr>
      <w:bookmarkStart w:id="79" w:name="_Toc152331821"/>
      <w:r>
        <w:rPr>
          <w:rFonts w:ascii="宋体" w:hAnsi="宋体" w:eastAsia="宋体"/>
        </w:rPr>
        <w:t>储罐区的废气预处理单元应布置在防火堤外。</w:t>
      </w:r>
      <w:bookmarkEnd w:id="79"/>
    </w:p>
    <w:p>
      <w:pPr>
        <w:pStyle w:val="107"/>
        <w:spacing w:before="120" w:after="120"/>
        <w:rPr>
          <w:rFonts w:ascii="宋体" w:hAnsi="宋体" w:eastAsia="宋体"/>
        </w:rPr>
      </w:pPr>
      <w:bookmarkStart w:id="80" w:name="_Toc152331822"/>
      <w:r>
        <w:rPr>
          <w:rFonts w:ascii="宋体" w:hAnsi="宋体" w:eastAsia="宋体"/>
        </w:rPr>
        <w:t>废气预处理单元附近应有能保证消防车辆顺利接近预处理装置的消防道路。</w:t>
      </w:r>
      <w:bookmarkEnd w:id="80"/>
    </w:p>
    <w:p>
      <w:pPr>
        <w:pStyle w:val="107"/>
        <w:spacing w:before="120" w:after="120"/>
        <w:rPr>
          <w:rFonts w:ascii="宋体" w:hAnsi="宋体" w:eastAsia="宋体"/>
        </w:rPr>
      </w:pPr>
      <w:bookmarkStart w:id="81" w:name="_Toc152331823"/>
      <w:r>
        <w:rPr>
          <w:rFonts w:ascii="宋体" w:hAnsi="宋体" w:eastAsia="宋体"/>
        </w:rPr>
        <w:t>废气预处理单元内部的设备应紧凑布置，且满足安装、操作、检修的要求。</w:t>
      </w:r>
      <w:bookmarkEnd w:id="81"/>
    </w:p>
    <w:p>
      <w:pPr>
        <w:pStyle w:val="107"/>
        <w:spacing w:before="120" w:after="120"/>
        <w:rPr>
          <w:rFonts w:ascii="宋体" w:hAnsi="宋体" w:eastAsia="宋体"/>
        </w:rPr>
      </w:pPr>
      <w:bookmarkStart w:id="82" w:name="_Toc152331824"/>
      <w:r>
        <w:rPr>
          <w:rFonts w:ascii="宋体" w:hAnsi="宋体" w:eastAsia="宋体"/>
        </w:rPr>
        <w:t>废气预处理单元与相邻工厂、设备、建筑物、构筑物的防火间距，应符合</w:t>
      </w:r>
      <w:r>
        <w:rPr>
          <w:rFonts w:hint="eastAsia" w:ascii="宋体" w:hAnsi="宋体" w:eastAsia="宋体"/>
        </w:rPr>
        <w:t>GB 50160的规定。</w:t>
      </w:r>
      <w:bookmarkEnd w:id="82"/>
    </w:p>
    <w:p>
      <w:pPr>
        <w:pStyle w:val="107"/>
        <w:spacing w:before="120" w:after="120"/>
        <w:rPr>
          <w:rFonts w:ascii="宋体" w:hAnsi="宋体" w:eastAsia="宋体"/>
        </w:rPr>
      </w:pPr>
      <w:bookmarkStart w:id="83" w:name="_Toc152331825"/>
      <w:r>
        <w:rPr>
          <w:rFonts w:ascii="宋体" w:hAnsi="宋体" w:eastAsia="宋体"/>
        </w:rPr>
        <w:t>末端处理采用</w:t>
      </w:r>
      <w:r>
        <w:rPr>
          <w:rFonts w:hint="eastAsia" w:ascii="宋体" w:hAnsi="宋体" w:eastAsia="宋体"/>
        </w:rPr>
        <w:t>RTO焚烧时，按明火设备设计，与相邻工厂、设备、建筑物、构筑物的防火间距，应符合GB 50160的规定。</w:t>
      </w:r>
      <w:bookmarkEnd w:id="83"/>
    </w:p>
    <w:p>
      <w:pPr>
        <w:pStyle w:val="106"/>
        <w:spacing w:before="240" w:after="240"/>
      </w:pPr>
      <w:bookmarkStart w:id="84" w:name="_Toc152331826"/>
      <w:r>
        <w:t>工艺及管道设计</w:t>
      </w:r>
      <w:bookmarkEnd w:id="84"/>
    </w:p>
    <w:p>
      <w:pPr>
        <w:pStyle w:val="107"/>
        <w:spacing w:before="120" w:after="120"/>
      </w:pPr>
      <w:bookmarkStart w:id="85" w:name="_Toc152331827"/>
      <w:r>
        <w:t>一般规定</w:t>
      </w:r>
      <w:bookmarkEnd w:id="85"/>
    </w:p>
    <w:p>
      <w:pPr>
        <w:pStyle w:val="67"/>
        <w:spacing w:before="120" w:after="120"/>
        <w:rPr>
          <w:rFonts w:ascii="宋体" w:hAnsi="宋体" w:eastAsia="宋体"/>
        </w:rPr>
      </w:pPr>
      <w:bookmarkStart w:id="86" w:name="_Toc152331828"/>
      <w:r>
        <w:rPr>
          <w:rFonts w:ascii="宋体" w:hAnsi="宋体" w:eastAsia="宋体"/>
        </w:rPr>
        <w:t>煤气净化废气宜分区域进行收集、预处理。</w:t>
      </w:r>
      <w:bookmarkEnd w:id="86"/>
    </w:p>
    <w:p>
      <w:pPr>
        <w:pStyle w:val="67"/>
        <w:spacing w:before="120" w:after="120"/>
        <w:rPr>
          <w:rFonts w:ascii="宋体" w:hAnsi="宋体" w:eastAsia="宋体"/>
        </w:rPr>
      </w:pPr>
      <w:bookmarkStart w:id="87" w:name="_Toc152331829"/>
      <w:r>
        <w:rPr>
          <w:rFonts w:ascii="宋体" w:hAnsi="宋体" w:eastAsia="宋体"/>
        </w:rPr>
        <w:t>废气收集单元应满足同一系统内同时运行的储罐小时最大排气量要求。</w:t>
      </w:r>
      <w:bookmarkEnd w:id="87"/>
    </w:p>
    <w:p>
      <w:pPr>
        <w:pStyle w:val="67"/>
        <w:spacing w:before="120" w:after="120"/>
        <w:rPr>
          <w:rFonts w:ascii="宋体" w:hAnsi="宋体" w:eastAsia="宋体"/>
        </w:rPr>
      </w:pPr>
      <w:bookmarkStart w:id="88" w:name="_Toc152331830"/>
      <w:r>
        <w:rPr>
          <w:rFonts w:ascii="宋体" w:hAnsi="宋体" w:eastAsia="宋体"/>
        </w:rPr>
        <w:t>废气收集、输送管线应采用地上铺设，坡度不宜小于</w:t>
      </w:r>
      <w:r>
        <w:rPr>
          <w:rFonts w:hint="eastAsia" w:ascii="宋体" w:hAnsi="宋体" w:eastAsia="宋体"/>
        </w:rPr>
        <w:t>2‰。</w:t>
      </w:r>
      <w:bookmarkEnd w:id="88"/>
    </w:p>
    <w:p>
      <w:pPr>
        <w:pStyle w:val="67"/>
        <w:spacing w:before="120" w:after="120"/>
        <w:rPr>
          <w:rFonts w:ascii="宋体" w:hAnsi="宋体" w:eastAsia="宋体"/>
        </w:rPr>
      </w:pPr>
      <w:bookmarkStart w:id="89" w:name="_Toc152331831"/>
      <w:r>
        <w:rPr>
          <w:rFonts w:ascii="宋体" w:hAnsi="宋体" w:eastAsia="宋体"/>
        </w:rPr>
        <w:t>废气收集、输送管道应设置凝液收集设施，并按</w:t>
      </w:r>
      <w:r>
        <w:rPr>
          <w:rFonts w:hint="eastAsia" w:ascii="宋体" w:hAnsi="宋体" w:eastAsia="宋体"/>
        </w:rPr>
        <w:t>AQ 7012的要求设置排水器。</w:t>
      </w:r>
      <w:bookmarkEnd w:id="89"/>
    </w:p>
    <w:p>
      <w:pPr>
        <w:pStyle w:val="67"/>
        <w:spacing w:before="120" w:after="120"/>
        <w:rPr>
          <w:rFonts w:ascii="宋体" w:hAnsi="宋体" w:eastAsia="宋体"/>
        </w:rPr>
      </w:pPr>
      <w:bookmarkStart w:id="90" w:name="_Toc152331832"/>
      <w:r>
        <w:rPr>
          <w:rFonts w:ascii="宋体" w:hAnsi="宋体" w:eastAsia="宋体"/>
        </w:rPr>
        <w:t>预处理单元前的易堵介质废气收集、输送管道应进行伴热，并设置吹扫措施，确保管路系统畅通。</w:t>
      </w:r>
      <w:bookmarkEnd w:id="90"/>
    </w:p>
    <w:p>
      <w:pPr>
        <w:pStyle w:val="67"/>
        <w:spacing w:before="120" w:after="120"/>
        <w:rPr>
          <w:rFonts w:ascii="宋体" w:hAnsi="宋体" w:eastAsia="宋体"/>
        </w:rPr>
      </w:pPr>
      <w:bookmarkStart w:id="91" w:name="_Toc152331833"/>
      <w:r>
        <w:rPr>
          <w:rFonts w:ascii="宋体" w:hAnsi="宋体" w:eastAsia="宋体"/>
        </w:rPr>
        <w:t>废气治理系统的管道规格根据水力计算确定。管道系统的公称压力不应低于</w:t>
      </w:r>
      <w:r>
        <w:rPr>
          <w:rFonts w:hint="eastAsia" w:ascii="宋体" w:hAnsi="宋体" w:eastAsia="宋体"/>
        </w:rPr>
        <w:t>1.6MPa。</w:t>
      </w:r>
      <w:bookmarkEnd w:id="91"/>
    </w:p>
    <w:p>
      <w:pPr>
        <w:pStyle w:val="67"/>
        <w:spacing w:before="120" w:after="120"/>
        <w:rPr>
          <w:rFonts w:ascii="宋体" w:hAnsi="宋体" w:eastAsia="宋体"/>
        </w:rPr>
      </w:pPr>
      <w:bookmarkStart w:id="92" w:name="_Toc152331834"/>
      <w:r>
        <w:rPr>
          <w:rFonts w:ascii="宋体" w:hAnsi="宋体" w:eastAsia="宋体"/>
        </w:rPr>
        <w:t>废气治理系统内的管道器材应符合下列规定：</w:t>
      </w:r>
      <w:bookmarkEnd w:id="92"/>
    </w:p>
    <w:p>
      <w:pPr>
        <w:pStyle w:val="96"/>
        <w:spacing w:before="120" w:after="120"/>
        <w:rPr>
          <w:rFonts w:ascii="宋体" w:hAnsi="宋体" w:eastAsia="宋体"/>
        </w:rPr>
      </w:pPr>
      <w:r>
        <w:rPr>
          <w:rFonts w:ascii="宋体" w:hAnsi="宋体" w:eastAsia="宋体"/>
        </w:rPr>
        <w:t>管道宜采用流体无缝钢管。碳钢、低合金无缝管道应符合</w:t>
      </w:r>
      <w:r>
        <w:rPr>
          <w:rFonts w:hint="eastAsia" w:ascii="宋体" w:hAnsi="宋体" w:eastAsia="宋体"/>
        </w:rPr>
        <w:t>GB/T 8163的规定；不锈钢无缝管应符合GB/T 14976的规定；</w:t>
      </w:r>
    </w:p>
    <w:p>
      <w:pPr>
        <w:pStyle w:val="96"/>
        <w:spacing w:before="120" w:after="120"/>
        <w:rPr>
          <w:rFonts w:ascii="宋体" w:hAnsi="宋体" w:eastAsia="宋体"/>
        </w:rPr>
      </w:pPr>
      <w:r>
        <w:rPr>
          <w:rFonts w:ascii="宋体" w:hAnsi="宋体" w:eastAsia="宋体"/>
        </w:rPr>
        <w:t>废气管道用阀门应选用钢制阀门；</w:t>
      </w:r>
    </w:p>
    <w:p>
      <w:pPr>
        <w:pStyle w:val="96"/>
        <w:spacing w:before="120" w:after="120"/>
        <w:rPr>
          <w:rFonts w:ascii="宋体" w:hAnsi="宋体" w:eastAsia="宋体"/>
        </w:rPr>
      </w:pPr>
      <w:r>
        <w:rPr>
          <w:rFonts w:ascii="宋体" w:hAnsi="宋体" w:eastAsia="宋体"/>
        </w:rPr>
        <w:t>阀门、弯头、三通、异径管、管帽等管件材质、压力等级应与所连管道一致；</w:t>
      </w:r>
    </w:p>
    <w:p>
      <w:pPr>
        <w:pStyle w:val="96"/>
        <w:spacing w:before="120" w:after="120"/>
        <w:rPr>
          <w:rFonts w:ascii="宋体" w:hAnsi="宋体" w:eastAsia="宋体"/>
        </w:rPr>
      </w:pPr>
      <w:r>
        <w:rPr>
          <w:rFonts w:ascii="宋体" w:hAnsi="宋体" w:eastAsia="宋体"/>
        </w:rPr>
        <w:t>鼓冷、硫铵、脱硫工段管道、管件应选用不锈钢、粗笨、油库工段、预处理后管道、管件材料宜选用碳钢。</w:t>
      </w:r>
    </w:p>
    <w:p>
      <w:pPr>
        <w:pStyle w:val="67"/>
        <w:spacing w:before="120" w:after="120"/>
        <w:rPr>
          <w:rFonts w:ascii="宋体" w:hAnsi="宋体" w:eastAsia="宋体"/>
        </w:rPr>
      </w:pPr>
      <w:bookmarkStart w:id="93" w:name="_Toc152331835"/>
      <w:r>
        <w:rPr>
          <w:rFonts w:hAnsi="黑体"/>
        </w:rPr>
        <w:t>废气治理系统阻火器应符合下列规定</w:t>
      </w:r>
      <w:r>
        <w:rPr>
          <w:rFonts w:ascii="宋体" w:hAnsi="宋体" w:eastAsia="宋体"/>
        </w:rPr>
        <w:t>：</w:t>
      </w:r>
      <w:bookmarkEnd w:id="93"/>
    </w:p>
    <w:p>
      <w:pPr>
        <w:pStyle w:val="134"/>
      </w:pPr>
      <w:r>
        <w:t>阻火器的选用应符合</w:t>
      </w:r>
      <w:r>
        <w:rPr>
          <w:rFonts w:hint="eastAsia"/>
        </w:rPr>
        <w:t>GB/T 13347和SH/T 3413的规定。</w:t>
      </w:r>
    </w:p>
    <w:p>
      <w:pPr>
        <w:pStyle w:val="134"/>
      </w:pPr>
      <w:r>
        <w:rPr>
          <w:rFonts w:hAnsi="宋体"/>
        </w:rPr>
        <w:t>阻火器的型式根据其安装点距火源点位置确定，安装位置距火源</w:t>
      </w:r>
      <w:r>
        <w:rPr>
          <w:rFonts w:hint="eastAsia" w:hAnsi="宋体"/>
        </w:rPr>
        <w:t>L/D≤20时，选用阻爆燃阻火器；L/D≥120时，选用阻爆轰阻火器；阻火器布置应避开20＜L/D＜120非稳态区间；</w:t>
      </w:r>
    </w:p>
    <w:p>
      <w:pPr>
        <w:pStyle w:val="134"/>
      </w:pPr>
      <w:r>
        <w:rPr>
          <w:rFonts w:hAnsi="宋体"/>
        </w:rPr>
        <w:t>阻火器在设计流量下的压降不宜大于</w:t>
      </w:r>
      <w:r>
        <w:rPr>
          <w:rFonts w:hint="eastAsia" w:hAnsi="宋体"/>
        </w:rPr>
        <w:t>0.3kPa；</w:t>
      </w:r>
    </w:p>
    <w:p>
      <w:pPr>
        <w:pStyle w:val="134"/>
      </w:pPr>
      <w:r>
        <w:t>必须采用波纹板式阻火器；</w:t>
      </w:r>
    </w:p>
    <w:p>
      <w:pPr>
        <w:pStyle w:val="134"/>
      </w:pPr>
      <w:r>
        <w:t>阻火元件材质应选用不锈钢；冷鼓、硫铵、脱硫、煤焦油深加工工段阻火器壳体材质应选用不锈钢，洗脱苯及粗笨深加工、油库及其装载、预处理后阻火器壳体材料宜选用碳钢；</w:t>
      </w:r>
    </w:p>
    <w:p>
      <w:pPr>
        <w:pStyle w:val="134"/>
      </w:pPr>
      <w:r>
        <w:t>阻火器须通过</w:t>
      </w:r>
      <w:r>
        <w:rPr>
          <w:rFonts w:hint="eastAsia"/>
        </w:rPr>
        <w:t>GB/T 13347规定的测试要求，并出具第三方型式认证文件；</w:t>
      </w:r>
    </w:p>
    <w:p>
      <w:pPr>
        <w:pStyle w:val="134"/>
      </w:pPr>
      <w:r>
        <w:t>阻火器两端宜设置可供切断的措施；并根据气象条件和废气性质设置清堵、防冻措施；</w:t>
      </w:r>
    </w:p>
    <w:p>
      <w:pPr>
        <w:pStyle w:val="134"/>
      </w:pPr>
      <w:r>
        <w:rPr>
          <w:rFonts w:hint="eastAsia"/>
        </w:rPr>
        <w:t>每个储罐废气收集支线上采用阻爆轰型阻火器，安装位置尽量靠近灌顶气相接口；当空间或罐顶承重受限时，可适当调整安装位置，但应避免非稳态爆轰区间。</w:t>
      </w:r>
    </w:p>
    <w:p>
      <w:pPr>
        <w:pStyle w:val="67"/>
        <w:spacing w:before="120" w:after="120"/>
        <w:rPr>
          <w:rFonts w:ascii="宋体" w:hAnsi="宋体" w:eastAsia="宋体"/>
        </w:rPr>
      </w:pPr>
      <w:bookmarkStart w:id="94" w:name="_Toc152331836"/>
      <w:r>
        <w:rPr>
          <w:rFonts w:ascii="宋体" w:hAnsi="宋体" w:eastAsia="宋体"/>
        </w:rPr>
        <w:t>对改造类项目，穿越禁止动火作业区域的新增管道宜分段采用法兰连接。</w:t>
      </w:r>
      <w:bookmarkEnd w:id="94"/>
    </w:p>
    <w:p>
      <w:pPr>
        <w:pStyle w:val="67"/>
        <w:spacing w:before="120" w:after="120"/>
        <w:rPr>
          <w:rFonts w:ascii="宋体" w:hAnsi="宋体" w:eastAsia="宋体"/>
        </w:rPr>
      </w:pPr>
      <w:bookmarkStart w:id="95" w:name="_Toc152331837"/>
      <w:r>
        <w:rPr>
          <w:rFonts w:ascii="宋体" w:hAnsi="宋体" w:eastAsia="宋体"/>
        </w:rPr>
        <w:t>废气输送管道的金属法兰连接处应做静电跨接。</w:t>
      </w:r>
      <w:bookmarkEnd w:id="95"/>
    </w:p>
    <w:p>
      <w:pPr>
        <w:pStyle w:val="107"/>
        <w:spacing w:before="120" w:after="120"/>
      </w:pPr>
      <w:bookmarkStart w:id="96" w:name="_Toc152331838"/>
      <w:r>
        <w:t>废气收集单元</w:t>
      </w:r>
      <w:bookmarkEnd w:id="96"/>
    </w:p>
    <w:p>
      <w:pPr>
        <w:pStyle w:val="67"/>
        <w:spacing w:before="120" w:after="120"/>
      </w:pPr>
      <w:bookmarkStart w:id="97" w:name="_Toc152331839"/>
      <w:r>
        <w:t>密闭储罐废气收集</w:t>
      </w:r>
      <w:bookmarkEnd w:id="97"/>
    </w:p>
    <w:p>
      <w:pPr>
        <w:pStyle w:val="96"/>
        <w:spacing w:before="120" w:after="120"/>
        <w:rPr>
          <w:rFonts w:ascii="宋体" w:hAnsi="宋体" w:eastAsia="宋体"/>
        </w:rPr>
      </w:pPr>
      <w:r>
        <w:rPr>
          <w:rFonts w:ascii="宋体" w:hAnsi="宋体" w:eastAsia="宋体"/>
        </w:rPr>
        <w:t>应综合考虑火灾危险性、废气逸散点的分布、废气组成、浓度及气量、能耗、运行费用等因素，宜按煤气净化工艺单元分区域收集；</w:t>
      </w:r>
    </w:p>
    <w:p>
      <w:pPr>
        <w:pStyle w:val="96"/>
        <w:spacing w:before="120" w:after="120"/>
        <w:rPr>
          <w:rFonts w:ascii="宋体" w:hAnsi="宋体" w:eastAsia="宋体"/>
        </w:rPr>
      </w:pPr>
      <w:r>
        <w:rPr>
          <w:rFonts w:ascii="宋体" w:hAnsi="宋体" w:eastAsia="宋体"/>
        </w:rPr>
        <w:t>应对罐顶增加管道、阀门等新增荷载，项目实施时应对储罐进行罐体强度及结构适应性的校核；</w:t>
      </w:r>
    </w:p>
    <w:p>
      <w:pPr>
        <w:pStyle w:val="96"/>
        <w:spacing w:before="120" w:after="120"/>
        <w:rPr>
          <w:rFonts w:ascii="宋体" w:hAnsi="宋体" w:eastAsia="宋体"/>
        </w:rPr>
      </w:pPr>
      <w:r>
        <w:rPr>
          <w:rFonts w:ascii="宋体" w:hAnsi="宋体" w:eastAsia="宋体"/>
        </w:rPr>
        <w:t>储罐应设置氮封稳压系统；</w:t>
      </w:r>
    </w:p>
    <w:p>
      <w:pPr>
        <w:pStyle w:val="96"/>
        <w:spacing w:before="120" w:after="120"/>
        <w:rPr>
          <w:rFonts w:ascii="宋体" w:hAnsi="宋体" w:eastAsia="宋体"/>
        </w:rPr>
      </w:pPr>
      <w:r>
        <w:rPr>
          <w:rFonts w:ascii="宋体" w:hAnsi="宋体" w:eastAsia="宋体"/>
        </w:rPr>
        <w:t>对新建、扩建项目，采用氮气密封系统的储罐应设液压安全阀，并符合</w:t>
      </w:r>
      <w:r>
        <w:rPr>
          <w:rFonts w:hint="eastAsia" w:ascii="宋体" w:hAnsi="宋体" w:eastAsia="宋体"/>
        </w:rPr>
        <w:t>SY/T 0511.2的要求；</w:t>
      </w:r>
    </w:p>
    <w:p>
      <w:pPr>
        <w:pStyle w:val="96"/>
        <w:spacing w:before="120" w:after="120"/>
        <w:rPr>
          <w:rFonts w:ascii="宋体" w:hAnsi="宋体" w:eastAsia="宋体"/>
        </w:rPr>
      </w:pPr>
      <w:r>
        <w:rPr>
          <w:rFonts w:ascii="宋体" w:hAnsi="宋体" w:eastAsia="宋体"/>
        </w:rPr>
        <w:t>储罐呼吸阀等安全附件的设置应符合</w:t>
      </w:r>
      <w:r>
        <w:rPr>
          <w:rFonts w:hint="eastAsia" w:ascii="宋体" w:hAnsi="宋体" w:eastAsia="宋体"/>
        </w:rPr>
        <w:t>SH/T 3007的相关规定。</w:t>
      </w:r>
    </w:p>
    <w:p>
      <w:pPr>
        <w:pStyle w:val="96"/>
        <w:spacing w:before="120" w:after="120"/>
        <w:rPr>
          <w:rFonts w:ascii="宋体" w:hAnsi="宋体" w:eastAsia="宋体"/>
        </w:rPr>
      </w:pPr>
      <w:r>
        <w:rPr>
          <w:rFonts w:ascii="宋体" w:hAnsi="宋体" w:eastAsia="宋体"/>
        </w:rPr>
        <w:t>储罐收集单元的设计应综合考虑储罐储存物料的性质、火灾危险性、储存温度、排气压力、储罐类型、保温情况和物料储存状况等因素；</w:t>
      </w:r>
    </w:p>
    <w:p>
      <w:pPr>
        <w:pStyle w:val="96"/>
        <w:spacing w:before="120" w:after="120"/>
        <w:rPr>
          <w:rFonts w:ascii="宋体" w:hAnsi="宋体" w:eastAsia="宋体"/>
        </w:rPr>
      </w:pPr>
      <w:r>
        <w:rPr>
          <w:rFonts w:ascii="宋体" w:hAnsi="宋体" w:eastAsia="宋体"/>
        </w:rPr>
        <w:t>储罐的废气收集宜采用单罐单控方案；</w:t>
      </w:r>
    </w:p>
    <w:p>
      <w:pPr>
        <w:pStyle w:val="96"/>
        <w:spacing w:before="120" w:after="120"/>
        <w:rPr>
          <w:rFonts w:ascii="宋体" w:hAnsi="宋体" w:eastAsia="宋体"/>
        </w:rPr>
      </w:pPr>
      <w:r>
        <w:rPr>
          <w:rFonts w:ascii="宋体" w:hAnsi="宋体" w:eastAsia="宋体"/>
        </w:rPr>
        <w:t>废气收集管道应保温、伴热。废气收集管道应有防止废气中的易凝结组分堵塞管道的措施；</w:t>
      </w:r>
    </w:p>
    <w:p>
      <w:pPr>
        <w:pStyle w:val="96"/>
        <w:spacing w:before="120" w:after="120"/>
        <w:rPr>
          <w:rFonts w:ascii="宋体" w:hAnsi="宋体" w:eastAsia="宋体"/>
        </w:rPr>
      </w:pPr>
      <w:r>
        <w:rPr>
          <w:rFonts w:ascii="宋体" w:hAnsi="宋体" w:eastAsia="宋体"/>
        </w:rPr>
        <w:t>废气收集不应采用单呼阀；</w:t>
      </w:r>
    </w:p>
    <w:p>
      <w:pPr>
        <w:pStyle w:val="96"/>
        <w:spacing w:before="120" w:after="120"/>
        <w:rPr>
          <w:rFonts w:ascii="宋体" w:hAnsi="宋体" w:eastAsia="宋体"/>
        </w:rPr>
      </w:pPr>
      <w:r>
        <w:rPr>
          <w:rFonts w:ascii="宋体" w:hAnsi="宋体" w:eastAsia="宋体"/>
        </w:rPr>
        <w:t>每台储罐应设置单独的氮封稳压阀组，阀组布置在罐顶；取压源点宜距氮封进气口</w:t>
      </w:r>
      <w:r>
        <w:rPr>
          <w:rFonts w:hint="eastAsia" w:ascii="宋体" w:hAnsi="宋体" w:eastAsia="宋体"/>
        </w:rPr>
        <w:t>0.8m以上；氮封阀组前设置就地压力表；</w:t>
      </w:r>
    </w:p>
    <w:p>
      <w:pPr>
        <w:pStyle w:val="96"/>
        <w:spacing w:before="120" w:after="120"/>
        <w:rPr>
          <w:rFonts w:ascii="宋体" w:hAnsi="宋体" w:eastAsia="宋体"/>
        </w:rPr>
      </w:pPr>
      <w:r>
        <w:rPr>
          <w:rFonts w:ascii="宋体" w:hAnsi="宋体" w:eastAsia="宋体"/>
        </w:rPr>
        <w:t>每台储罐应设置单独的带阻爆燃阻火器的全天候呼吸阀；易结晶废气的呼吸阀应采用带蒸汽夹套保温型。</w:t>
      </w:r>
    </w:p>
    <w:p>
      <w:pPr>
        <w:pStyle w:val="96"/>
        <w:spacing w:before="120" w:after="120"/>
      </w:pPr>
      <w:r>
        <w:rPr>
          <w:rFonts w:ascii="宋体" w:hAnsi="宋体" w:eastAsia="宋体"/>
        </w:rPr>
        <w:t>每台储罐的气相收集支管上应设置</w:t>
      </w:r>
      <w:r>
        <w:t>：</w:t>
      </w:r>
    </w:p>
    <w:p>
      <w:pPr>
        <w:pStyle w:val="134"/>
      </w:pPr>
      <w:r>
        <w:t>阻爆轰型阻火器，且应靠近储罐排气口安装；</w:t>
      </w:r>
    </w:p>
    <w:p>
      <w:pPr>
        <w:pStyle w:val="134"/>
      </w:pPr>
      <w:r>
        <w:rPr>
          <w:rFonts w:hint="eastAsia"/>
        </w:rPr>
        <w:t>与废气收集主管隔离检修的切断措施；</w:t>
      </w:r>
    </w:p>
    <w:p>
      <w:pPr>
        <w:pStyle w:val="134"/>
      </w:pPr>
      <w:r>
        <w:rPr>
          <w:rFonts w:hint="eastAsia"/>
        </w:rPr>
        <w:t>废气排放阀，并于罐顶压力变送器联锁开关；</w:t>
      </w:r>
    </w:p>
    <w:p>
      <w:pPr>
        <w:pStyle w:val="134"/>
      </w:pPr>
      <w:r>
        <w:rPr>
          <w:rFonts w:hint="eastAsia"/>
        </w:rPr>
        <w:t>检修放散阀。</w:t>
      </w:r>
    </w:p>
    <w:p>
      <w:pPr>
        <w:pStyle w:val="96"/>
        <w:spacing w:before="120" w:after="120"/>
        <w:rPr>
          <w:rFonts w:ascii="宋体" w:hAnsi="宋体" w:eastAsia="宋体"/>
        </w:rPr>
      </w:pPr>
      <w:r>
        <w:rPr>
          <w:rFonts w:ascii="宋体" w:hAnsi="宋体" w:eastAsia="宋体"/>
        </w:rPr>
        <w:t>储存易凝结介质的储罐，气相收集支管上应设置双向蒸汽吹扫管线。</w:t>
      </w:r>
    </w:p>
    <w:p>
      <w:pPr>
        <w:pStyle w:val="96"/>
        <w:spacing w:before="120" w:after="120"/>
        <w:rPr>
          <w:rFonts w:ascii="宋体" w:hAnsi="宋体" w:eastAsia="宋体"/>
        </w:rPr>
      </w:pPr>
      <w:r>
        <w:rPr>
          <w:rFonts w:ascii="宋体" w:hAnsi="宋体" w:eastAsia="宋体"/>
        </w:rPr>
        <w:t>对既有储罐改造实施废气治理，罐顶油气支管的支架设计应满足罐顶设计荷载；管道支架与储罐的连接严谨采用焊接方式，应采用胶粘。</w:t>
      </w:r>
    </w:p>
    <w:p>
      <w:pPr>
        <w:pStyle w:val="96"/>
        <w:spacing w:before="120" w:after="120"/>
        <w:rPr>
          <w:rFonts w:ascii="宋体" w:hAnsi="宋体" w:eastAsia="宋体"/>
        </w:rPr>
      </w:pPr>
      <w:r>
        <w:rPr>
          <w:rFonts w:ascii="宋体" w:hAnsi="宋体" w:eastAsia="宋体"/>
        </w:rPr>
        <w:t>储罐压力设定原则：</w:t>
      </w:r>
    </w:p>
    <w:p>
      <w:pPr>
        <w:pStyle w:val="134"/>
      </w:pPr>
      <w:r>
        <w:t>储罐</w:t>
      </w:r>
      <w:r>
        <w:rPr>
          <w:rFonts w:hint="eastAsia"/>
        </w:rPr>
        <w:t>储罐密闭收集系统各安全附件及阀门动作压力设定区间合理，不能有交集；</w:t>
      </w:r>
    </w:p>
    <w:p>
      <w:pPr>
        <w:pStyle w:val="134"/>
      </w:pPr>
      <w:r>
        <w:rPr>
          <w:rFonts w:hint="eastAsia" w:hAnsi="宋体"/>
          <w:color w:val="000000"/>
        </w:rPr>
        <w:t>液压安全阀的呼气设定压力应低于储罐设计正压力且高于呼吸阀呼气设定压力；</w:t>
      </w:r>
    </w:p>
    <w:p>
      <w:pPr>
        <w:pStyle w:val="134"/>
      </w:pPr>
      <w:r>
        <w:rPr>
          <w:rFonts w:hint="eastAsia" w:hAnsi="宋体"/>
          <w:color w:val="000000"/>
        </w:rPr>
        <w:t>呼吸阀的呼气设定压力高于废气排放阀的开启压力；</w:t>
      </w:r>
    </w:p>
    <w:p>
      <w:pPr>
        <w:pStyle w:val="134"/>
      </w:pPr>
      <w:r>
        <w:rPr>
          <w:rFonts w:hint="eastAsia" w:hAnsi="宋体"/>
          <w:color w:val="000000"/>
        </w:rPr>
        <w:t>废气排放阀的关闭压力应高于氮封稳压阀的关闭压力；</w:t>
      </w:r>
    </w:p>
    <w:p>
      <w:pPr>
        <w:pStyle w:val="134"/>
      </w:pPr>
      <w:r>
        <w:rPr>
          <w:rFonts w:hint="eastAsia" w:hAnsi="宋体"/>
          <w:color w:val="000000"/>
        </w:rPr>
        <w:t>氮封稳压阀的开启压力应高于呼吸阀的的吸气设定压力；</w:t>
      </w:r>
    </w:p>
    <w:p>
      <w:pPr>
        <w:pStyle w:val="134"/>
      </w:pPr>
      <w:r>
        <w:rPr>
          <w:rFonts w:hint="eastAsia" w:hAnsi="宋体"/>
          <w:color w:val="000000"/>
        </w:rPr>
        <w:t>呼吸阀的吸气压力设定值应高于</w:t>
      </w:r>
      <w:r>
        <w:rPr>
          <w:rFonts w:hint="eastAsia" w:hAnsi="宋体"/>
        </w:rPr>
        <w:t>液压安全阀的吸气设定压力</w:t>
      </w:r>
      <w:r>
        <w:rPr>
          <w:rFonts w:hint="eastAsia" w:hAnsi="宋体"/>
          <w:color w:val="000000"/>
        </w:rPr>
        <w:t>；</w:t>
      </w:r>
    </w:p>
    <w:p>
      <w:pPr>
        <w:pStyle w:val="134"/>
      </w:pPr>
      <w:r>
        <w:rPr>
          <w:rFonts w:hint="eastAsia" w:hAnsi="宋体"/>
        </w:rPr>
        <w:t>液压安全阀的吸气设定压力应高于</w:t>
      </w:r>
      <w:r>
        <w:rPr>
          <w:rFonts w:hint="eastAsia" w:hAnsi="宋体"/>
          <w:color w:val="000000"/>
        </w:rPr>
        <w:t>储罐设计负压力；</w:t>
      </w:r>
    </w:p>
    <w:p>
      <w:pPr>
        <w:pStyle w:val="134"/>
      </w:pPr>
      <w:r>
        <w:rPr>
          <w:rFonts w:hint="eastAsia" w:hAnsi="宋体"/>
          <w:color w:val="000000"/>
        </w:rPr>
        <w:t>宜保持运行时储罐内微正压。</w:t>
      </w:r>
    </w:p>
    <w:p>
      <w:pPr>
        <w:pStyle w:val="67"/>
        <w:spacing w:before="120" w:after="120"/>
      </w:pPr>
      <w:bookmarkStart w:id="98" w:name="_Toc152331840"/>
      <w:r>
        <w:t>敞口设施收集</w:t>
      </w:r>
      <w:bookmarkEnd w:id="98"/>
    </w:p>
    <w:p>
      <w:pPr>
        <w:pStyle w:val="96"/>
        <w:spacing w:before="120" w:after="120"/>
        <w:rPr>
          <w:rFonts w:ascii="宋体" w:hAnsi="宋体" w:eastAsia="宋体"/>
        </w:rPr>
      </w:pPr>
      <w:r>
        <w:rPr>
          <w:rFonts w:ascii="宋体" w:hAnsi="宋体" w:eastAsia="宋体"/>
        </w:rPr>
        <w:t>硫铵满流槽、地坑等敞口设施经加罩后进行废气收集；</w:t>
      </w:r>
    </w:p>
    <w:p>
      <w:pPr>
        <w:pStyle w:val="96"/>
        <w:spacing w:before="120" w:after="120"/>
        <w:rPr>
          <w:rFonts w:ascii="宋体" w:hAnsi="宋体" w:eastAsia="宋体"/>
        </w:rPr>
      </w:pPr>
      <w:r>
        <w:rPr>
          <w:rFonts w:ascii="宋体" w:hAnsi="宋体" w:eastAsia="宋体"/>
        </w:rPr>
        <w:t>废气收集排风罩的设计应符合</w:t>
      </w:r>
      <w:r>
        <w:rPr>
          <w:rFonts w:hint="eastAsia" w:ascii="宋体" w:hAnsi="宋体" w:eastAsia="宋体"/>
        </w:rPr>
        <w:t>GB/T 16758的规定；在距吸风口开口端最远处的位置，控制风速不应低于0.3m/s；</w:t>
      </w:r>
    </w:p>
    <w:p>
      <w:pPr>
        <w:pStyle w:val="96"/>
        <w:spacing w:before="120" w:after="120"/>
        <w:rPr>
          <w:rFonts w:ascii="宋体" w:hAnsi="宋体" w:eastAsia="宋体"/>
        </w:rPr>
      </w:pPr>
      <w:r>
        <w:rPr>
          <w:rFonts w:ascii="宋体" w:hAnsi="宋体" w:eastAsia="宋体"/>
        </w:rPr>
        <w:t>废气收集应在负压下进行；废气收集管线应设置压力检测仪表和调节型手阀，宜设置阻爆轰型阻火器。</w:t>
      </w:r>
    </w:p>
    <w:p>
      <w:pPr>
        <w:pStyle w:val="67"/>
        <w:spacing w:before="120" w:after="120"/>
      </w:pPr>
      <w:bookmarkStart w:id="99" w:name="_Toc152331841"/>
      <w:r>
        <w:t>装车设施废气收集</w:t>
      </w:r>
      <w:bookmarkEnd w:id="99"/>
    </w:p>
    <w:p>
      <w:pPr>
        <w:pStyle w:val="96"/>
        <w:spacing w:before="120" w:after="120"/>
        <w:rPr>
          <w:rFonts w:ascii="宋体" w:hAnsi="宋体" w:eastAsia="宋体"/>
        </w:rPr>
      </w:pPr>
      <w:r>
        <w:rPr>
          <w:rFonts w:ascii="宋体" w:hAnsi="宋体" w:eastAsia="宋体"/>
        </w:rPr>
        <w:t>可燃液体装车应采用顶部浸没式或底部装载方式，顶部浸没式装载出油口距离罐车底部高度应小于</w:t>
      </w:r>
      <w:r>
        <w:rPr>
          <w:rFonts w:hint="eastAsia" w:ascii="宋体" w:hAnsi="宋体" w:eastAsia="宋体"/>
        </w:rPr>
        <w:t>200mm。</w:t>
      </w:r>
    </w:p>
    <w:p>
      <w:pPr>
        <w:pStyle w:val="96"/>
        <w:spacing w:before="120" w:after="120"/>
        <w:rPr>
          <w:rFonts w:ascii="宋体" w:hAnsi="宋体" w:eastAsia="宋体"/>
        </w:rPr>
      </w:pPr>
      <w:r>
        <w:rPr>
          <w:rFonts w:ascii="宋体" w:hAnsi="宋体" w:eastAsia="宋体"/>
        </w:rPr>
        <w:t>鹤管与油罐车的连接应严密，泄露率应符合</w:t>
      </w:r>
      <w:r>
        <w:rPr>
          <w:rFonts w:hint="eastAsia" w:ascii="宋体" w:hAnsi="宋体" w:eastAsia="宋体"/>
        </w:rPr>
        <w:t>GB 37822的规定；密封装车鹤管与罐车冒口的密封压力应大于5kPa。</w:t>
      </w:r>
    </w:p>
    <w:p>
      <w:pPr>
        <w:pStyle w:val="96"/>
        <w:spacing w:before="120" w:after="120"/>
        <w:rPr>
          <w:rFonts w:ascii="宋体" w:hAnsi="宋体" w:eastAsia="宋体"/>
        </w:rPr>
      </w:pPr>
      <w:r>
        <w:rPr>
          <w:rFonts w:ascii="宋体" w:hAnsi="宋体" w:eastAsia="宋体"/>
        </w:rPr>
        <w:t>废气收集支管上应设置切断阀。</w:t>
      </w:r>
    </w:p>
    <w:p>
      <w:pPr>
        <w:pStyle w:val="96"/>
        <w:spacing w:before="120" w:after="120"/>
        <w:rPr>
          <w:rFonts w:ascii="宋体" w:hAnsi="宋体" w:eastAsia="宋体"/>
        </w:rPr>
      </w:pPr>
      <w:r>
        <w:rPr>
          <w:rFonts w:ascii="宋体" w:hAnsi="宋体" w:eastAsia="宋体"/>
        </w:rPr>
        <w:t>废气收集支管与鹤管的连接处应设置阻爆轰型阻火器。</w:t>
      </w:r>
    </w:p>
    <w:p>
      <w:pPr>
        <w:pStyle w:val="96"/>
        <w:spacing w:before="120" w:after="120"/>
        <w:rPr>
          <w:rFonts w:ascii="宋体" w:hAnsi="宋体" w:eastAsia="宋体"/>
        </w:rPr>
      </w:pPr>
      <w:r>
        <w:rPr>
          <w:rFonts w:ascii="宋体" w:hAnsi="宋体" w:eastAsia="宋体"/>
        </w:rPr>
        <w:t>废气收集管道宜设置保温、伴热、吹扫。</w:t>
      </w:r>
    </w:p>
    <w:p>
      <w:pPr>
        <w:pStyle w:val="96"/>
        <w:spacing w:before="120" w:after="120"/>
        <w:rPr>
          <w:rFonts w:ascii="宋体" w:hAnsi="宋体" w:eastAsia="宋体"/>
        </w:rPr>
      </w:pPr>
      <w:r>
        <w:rPr>
          <w:rFonts w:ascii="宋体" w:hAnsi="宋体" w:eastAsia="宋体"/>
        </w:rPr>
        <w:t>装车设施的废气收集管道上应设置便于手动和远程操作的切断阀，该阀应设置在装车台外，与装车台边缘的距离不应小于</w:t>
      </w:r>
      <w:r>
        <w:rPr>
          <w:rFonts w:hint="eastAsia" w:ascii="宋体" w:hAnsi="宋体" w:eastAsia="宋体"/>
        </w:rPr>
        <w:t>10m.</w:t>
      </w:r>
    </w:p>
    <w:p>
      <w:pPr>
        <w:pStyle w:val="67"/>
        <w:spacing w:before="120" w:after="120"/>
      </w:pPr>
      <w:bookmarkStart w:id="100" w:name="_Toc152331842"/>
      <w:r>
        <w:t>废气收集总管</w:t>
      </w:r>
      <w:bookmarkEnd w:id="100"/>
    </w:p>
    <w:p>
      <w:pPr>
        <w:pStyle w:val="96"/>
        <w:spacing w:before="120" w:after="120"/>
        <w:rPr>
          <w:rFonts w:ascii="宋体" w:hAnsi="宋体" w:eastAsia="宋体"/>
        </w:rPr>
      </w:pPr>
      <w:r>
        <w:rPr>
          <w:rFonts w:ascii="宋体" w:hAnsi="宋体" w:eastAsia="宋体"/>
        </w:rPr>
        <w:t>每台储罐的收集支管并入罐组收集干管，通过罐组收集干管送入废气收集总管。</w:t>
      </w:r>
    </w:p>
    <w:p>
      <w:pPr>
        <w:pStyle w:val="96"/>
        <w:spacing w:before="120" w:after="120"/>
        <w:rPr>
          <w:rFonts w:ascii="宋体" w:hAnsi="宋体" w:eastAsia="宋体"/>
        </w:rPr>
      </w:pPr>
      <w:r>
        <w:rPr>
          <w:rFonts w:ascii="宋体" w:hAnsi="宋体" w:eastAsia="宋体"/>
        </w:rPr>
        <w:t>罐组收集干管进入废气收集总管前，应分别设置切断阀。</w:t>
      </w:r>
    </w:p>
    <w:p>
      <w:pPr>
        <w:pStyle w:val="96"/>
        <w:spacing w:before="120" w:after="120"/>
        <w:rPr>
          <w:rFonts w:ascii="宋体" w:hAnsi="宋体" w:eastAsia="宋体"/>
        </w:rPr>
      </w:pPr>
      <w:r>
        <w:rPr>
          <w:rFonts w:ascii="宋体" w:hAnsi="宋体" w:eastAsia="宋体"/>
        </w:rPr>
        <w:t>废气收集总管应能满足系统内储罐最大排气量的要求。</w:t>
      </w:r>
    </w:p>
    <w:p>
      <w:pPr>
        <w:pStyle w:val="96"/>
        <w:spacing w:before="120" w:after="120"/>
        <w:rPr>
          <w:rFonts w:ascii="宋体" w:hAnsi="宋体" w:eastAsia="宋体"/>
        </w:rPr>
      </w:pPr>
      <w:r>
        <w:rPr>
          <w:rFonts w:ascii="宋体" w:hAnsi="宋体" w:eastAsia="宋体"/>
        </w:rPr>
        <w:t>废气收集总管</w:t>
      </w:r>
      <w:r>
        <w:rPr>
          <w:rFonts w:hint="eastAsia" w:ascii="宋体" w:hAnsi="宋体" w:eastAsia="宋体"/>
        </w:rPr>
        <w:t>和各废气收集支管的管径设计应能满足设计流量下各收集点的压力平衡要求。</w:t>
      </w:r>
    </w:p>
    <w:p>
      <w:pPr>
        <w:pStyle w:val="96"/>
        <w:spacing w:before="120" w:after="120"/>
        <w:rPr>
          <w:rFonts w:ascii="宋体" w:hAnsi="宋体" w:eastAsia="宋体"/>
        </w:rPr>
      </w:pPr>
      <w:r>
        <w:rPr>
          <w:rFonts w:ascii="宋体" w:hAnsi="宋体" w:eastAsia="宋体"/>
        </w:rPr>
        <w:t>废气收集管道应采取防止凝液聚集的措施。</w:t>
      </w:r>
    </w:p>
    <w:p>
      <w:pPr>
        <w:pStyle w:val="96"/>
        <w:spacing w:before="120" w:after="120"/>
        <w:rPr>
          <w:rFonts w:ascii="宋体" w:hAnsi="宋体" w:eastAsia="宋体"/>
        </w:rPr>
      </w:pPr>
      <w:r>
        <w:rPr>
          <w:rFonts w:ascii="宋体" w:hAnsi="宋体" w:eastAsia="宋体"/>
        </w:rPr>
        <w:t>进入负压总管的废气收集总管上设激光氧含量分。</w:t>
      </w:r>
    </w:p>
    <w:p>
      <w:pPr>
        <w:pStyle w:val="107"/>
        <w:spacing w:before="120" w:after="120"/>
      </w:pPr>
      <w:bookmarkStart w:id="101" w:name="_Toc152331843"/>
      <w:r>
        <w:t>废气输送单元</w:t>
      </w:r>
      <w:bookmarkEnd w:id="101"/>
    </w:p>
    <w:p>
      <w:pPr>
        <w:pStyle w:val="67"/>
        <w:spacing w:before="120" w:after="120"/>
        <w:rPr>
          <w:rFonts w:ascii="宋体" w:hAnsi="宋体" w:eastAsia="宋体"/>
        </w:rPr>
      </w:pPr>
      <w:bookmarkStart w:id="102" w:name="_Toc152331844"/>
      <w:r>
        <w:rPr>
          <w:rFonts w:ascii="宋体" w:hAnsi="宋体" w:eastAsia="宋体"/>
        </w:rPr>
        <w:t>输送风机前宜设分液罐，分液罐设置压力变送器。</w:t>
      </w:r>
      <w:bookmarkEnd w:id="102"/>
    </w:p>
    <w:p>
      <w:pPr>
        <w:pStyle w:val="67"/>
        <w:spacing w:before="120" w:after="120"/>
        <w:rPr>
          <w:rFonts w:ascii="宋体" w:hAnsi="宋体" w:eastAsia="宋体"/>
        </w:rPr>
      </w:pPr>
      <w:bookmarkStart w:id="103" w:name="_Toc152331845"/>
      <w:r>
        <w:rPr>
          <w:rFonts w:ascii="宋体" w:hAnsi="宋体" w:eastAsia="宋体"/>
        </w:rPr>
        <w:t>分液罐设计压力应大于等于</w:t>
      </w:r>
      <w:r>
        <w:rPr>
          <w:rFonts w:hint="eastAsia" w:ascii="宋体" w:hAnsi="宋体" w:eastAsia="宋体"/>
        </w:rPr>
        <w:t>1.0MPa，如果介质有腐蚀性，材料应选用不锈钢。</w:t>
      </w:r>
      <w:bookmarkEnd w:id="103"/>
    </w:p>
    <w:p>
      <w:pPr>
        <w:pStyle w:val="67"/>
        <w:spacing w:before="120" w:after="120"/>
        <w:rPr>
          <w:rFonts w:ascii="宋体" w:hAnsi="宋体" w:eastAsia="宋体"/>
        </w:rPr>
      </w:pPr>
      <w:bookmarkStart w:id="104" w:name="_Toc152331846"/>
      <w:r>
        <w:rPr>
          <w:rFonts w:ascii="宋体" w:hAnsi="宋体" w:eastAsia="宋体"/>
        </w:rPr>
        <w:t>分液罐设液位仪表，罐内积液排放到指定收集点。</w:t>
      </w:r>
      <w:bookmarkEnd w:id="104"/>
    </w:p>
    <w:p>
      <w:pPr>
        <w:pStyle w:val="67"/>
        <w:spacing w:before="120" w:after="120"/>
        <w:rPr>
          <w:rFonts w:ascii="宋体" w:hAnsi="宋体" w:eastAsia="宋体"/>
        </w:rPr>
      </w:pPr>
      <w:bookmarkStart w:id="105" w:name="_Toc152331847"/>
      <w:r>
        <w:rPr>
          <w:rFonts w:ascii="宋体" w:hAnsi="宋体" w:eastAsia="宋体"/>
        </w:rPr>
        <w:t>分液罐前的废气总管上设置切断阀。</w:t>
      </w:r>
      <w:bookmarkEnd w:id="105"/>
    </w:p>
    <w:p>
      <w:pPr>
        <w:pStyle w:val="67"/>
        <w:spacing w:before="120" w:after="120"/>
        <w:rPr>
          <w:rFonts w:ascii="宋体" w:hAnsi="宋体" w:eastAsia="宋体"/>
        </w:rPr>
      </w:pPr>
      <w:bookmarkStart w:id="106" w:name="_Toc152331848"/>
      <w:r>
        <w:rPr>
          <w:rFonts w:ascii="宋体" w:hAnsi="宋体" w:eastAsia="宋体"/>
        </w:rPr>
        <w:t>输送风机入口设置切断阀、过滤器、阻火器。</w:t>
      </w:r>
      <w:bookmarkEnd w:id="106"/>
    </w:p>
    <w:p>
      <w:pPr>
        <w:pStyle w:val="67"/>
        <w:spacing w:before="120" w:after="120"/>
        <w:rPr>
          <w:rFonts w:ascii="宋体" w:hAnsi="宋体" w:eastAsia="宋体"/>
        </w:rPr>
      </w:pPr>
      <w:bookmarkStart w:id="107" w:name="_Toc152331849"/>
      <w:r>
        <w:rPr>
          <w:rFonts w:ascii="宋体" w:hAnsi="宋体" w:eastAsia="宋体"/>
        </w:rPr>
        <w:t>输送风机出口设止回阀、阻火器、切断阀。</w:t>
      </w:r>
      <w:bookmarkEnd w:id="107"/>
    </w:p>
    <w:p>
      <w:pPr>
        <w:pStyle w:val="67"/>
        <w:spacing w:before="120" w:after="120"/>
        <w:rPr>
          <w:rFonts w:ascii="宋体" w:hAnsi="宋体" w:eastAsia="宋体"/>
        </w:rPr>
      </w:pPr>
      <w:bookmarkStart w:id="108" w:name="_Toc152331850"/>
      <w:r>
        <w:rPr>
          <w:rFonts w:ascii="宋体" w:hAnsi="宋体" w:eastAsia="宋体"/>
        </w:rPr>
        <w:t>可能出现爆炸性气体环境时，输送风机应采取防止内部产生火花的措施。</w:t>
      </w:r>
      <w:bookmarkEnd w:id="108"/>
    </w:p>
    <w:p>
      <w:pPr>
        <w:pStyle w:val="67"/>
        <w:spacing w:before="120" w:after="120"/>
        <w:rPr>
          <w:rFonts w:ascii="宋体" w:hAnsi="宋体" w:eastAsia="宋体"/>
        </w:rPr>
      </w:pPr>
      <w:bookmarkStart w:id="109" w:name="_Toc152331851"/>
      <w:r>
        <w:rPr>
          <w:rFonts w:ascii="宋体" w:hAnsi="宋体" w:eastAsia="宋体"/>
        </w:rPr>
        <w:t>输送风机应与分液罐压力连锁变频调节。</w:t>
      </w:r>
      <w:bookmarkEnd w:id="109"/>
    </w:p>
    <w:p>
      <w:pPr>
        <w:pStyle w:val="67"/>
        <w:spacing w:before="120" w:after="120"/>
        <w:rPr>
          <w:rFonts w:ascii="宋体" w:hAnsi="宋体" w:eastAsia="宋体"/>
        </w:rPr>
      </w:pPr>
      <w:bookmarkStart w:id="110" w:name="_Toc152331852"/>
      <w:r>
        <w:rPr>
          <w:rFonts w:ascii="宋体" w:hAnsi="宋体" w:eastAsia="宋体"/>
        </w:rPr>
        <w:t>风机的流量应能满足所输送系统的最大废气排放量的要求。</w:t>
      </w:r>
      <w:bookmarkEnd w:id="110"/>
    </w:p>
    <w:p>
      <w:pPr>
        <w:pStyle w:val="67"/>
        <w:spacing w:before="120" w:after="120"/>
        <w:rPr>
          <w:rFonts w:ascii="宋体" w:hAnsi="宋体" w:eastAsia="宋体"/>
        </w:rPr>
      </w:pPr>
      <w:bookmarkStart w:id="111" w:name="_Toc152331853"/>
      <w:r>
        <w:rPr>
          <w:rFonts w:ascii="宋体" w:hAnsi="宋体" w:eastAsia="宋体"/>
        </w:rPr>
        <w:t>风机的全压应满足废气收集、输送、处理过程总压力损失的要求。</w:t>
      </w:r>
      <w:bookmarkEnd w:id="111"/>
    </w:p>
    <w:p>
      <w:pPr>
        <w:pStyle w:val="107"/>
        <w:spacing w:before="120" w:after="120"/>
      </w:pPr>
      <w:bookmarkStart w:id="112" w:name="_Toc152331854"/>
      <w:r>
        <w:t>废气预处理单元</w:t>
      </w:r>
      <w:bookmarkEnd w:id="112"/>
    </w:p>
    <w:p>
      <w:pPr>
        <w:pStyle w:val="67"/>
        <w:spacing w:before="120" w:after="120"/>
        <w:rPr>
          <w:rFonts w:ascii="宋体" w:hAnsi="宋体" w:eastAsia="宋体"/>
        </w:rPr>
      </w:pPr>
      <w:bookmarkStart w:id="113" w:name="_Toc152331855"/>
      <w:r>
        <w:rPr>
          <w:rFonts w:ascii="宋体" w:hAnsi="宋体" w:eastAsia="宋体"/>
        </w:rPr>
        <w:t>煤气净化废气治理系统宜分区域设置预处理单元，预处理单元宜布置在废气收集单元附近。</w:t>
      </w:r>
      <w:bookmarkEnd w:id="113"/>
    </w:p>
    <w:p>
      <w:pPr>
        <w:pStyle w:val="67"/>
        <w:spacing w:before="120" w:after="120"/>
        <w:rPr>
          <w:rFonts w:ascii="宋体" w:hAnsi="宋体" w:eastAsia="宋体"/>
        </w:rPr>
      </w:pPr>
      <w:bookmarkStart w:id="114" w:name="_Toc152331856"/>
      <w:r>
        <w:rPr>
          <w:rFonts w:ascii="宋体" w:hAnsi="宋体" w:eastAsia="宋体"/>
        </w:rPr>
        <w:t>废气浓度宜根据夏季高温时实测作为依据，或参照同类地区已建废气处理装置的废气浓度数据。</w:t>
      </w:r>
      <w:bookmarkEnd w:id="114"/>
    </w:p>
    <w:p>
      <w:pPr>
        <w:pStyle w:val="67"/>
        <w:spacing w:before="120" w:after="120"/>
        <w:rPr>
          <w:rFonts w:ascii="宋体" w:hAnsi="宋体" w:eastAsia="宋体"/>
        </w:rPr>
      </w:pPr>
      <w:bookmarkStart w:id="115" w:name="_Toc152331857"/>
      <w:r>
        <w:rPr>
          <w:rFonts w:ascii="宋体" w:hAnsi="宋体" w:eastAsia="宋体"/>
        </w:rPr>
        <w:t>根据末端处理形式的不同，宜采用不同的废气预处理方式：</w:t>
      </w:r>
      <w:bookmarkEnd w:id="115"/>
    </w:p>
    <w:p>
      <w:pPr>
        <w:pStyle w:val="134"/>
      </w:pPr>
      <w:r>
        <w:t>末端废气去</w:t>
      </w:r>
      <w:r>
        <w:rPr>
          <w:rFonts w:hint="eastAsia"/>
        </w:rPr>
        <w:t>RTO焚烧时，宜采用油洗、酸洗、碱洗、水洗、冷凝等其中一种或组合预处理工艺；</w:t>
      </w:r>
    </w:p>
    <w:p>
      <w:pPr>
        <w:pStyle w:val="134"/>
      </w:pPr>
      <w:r>
        <w:t>末端废气进煤气负压总管时，宜采用洗油吸收预处理工艺。</w:t>
      </w:r>
    </w:p>
    <w:p>
      <w:pPr>
        <w:pStyle w:val="67"/>
        <w:spacing w:before="120" w:after="120"/>
        <w:rPr>
          <w:rFonts w:ascii="宋体" w:hAnsi="宋体" w:eastAsia="宋体"/>
        </w:rPr>
      </w:pPr>
      <w:bookmarkStart w:id="116" w:name="_Toc152331858"/>
      <w:r>
        <w:rPr>
          <w:rFonts w:ascii="宋体" w:hAnsi="宋体" w:eastAsia="宋体"/>
        </w:rPr>
        <w:t>敞口设施收集废气</w:t>
      </w:r>
      <w:r>
        <w:rPr>
          <w:rFonts w:hint="eastAsia" w:ascii="宋体" w:hAnsi="宋体" w:eastAsia="宋体"/>
        </w:rPr>
        <w:t>氧含量高，该废气在与密闭设施废气混合进负压总管前，应根据负压系统稳定运行时煤气的氧含量、煤气量的最大、最小值及密闭设施的收集最大废气量和氧浓度控制值和敞口设施收集废气量及氧浓度进行加权平均评估计算。最严苛工况时，煤气氧含量仍符合GB 12710规定的小于2%（v/v）的前提下，才可进入煤气负压总管，否则，敞口设施收集的高含氧废气应送燃烧装置处理。</w:t>
      </w:r>
      <w:bookmarkEnd w:id="116"/>
    </w:p>
    <w:p>
      <w:pPr>
        <w:pStyle w:val="67"/>
        <w:spacing w:before="120" w:after="120"/>
        <w:rPr>
          <w:rFonts w:ascii="宋体" w:hAnsi="宋体" w:eastAsia="宋体"/>
          <w:color w:val="000000"/>
        </w:rPr>
      </w:pPr>
      <w:bookmarkStart w:id="117" w:name="_Toc152331859"/>
      <w:r>
        <w:rPr>
          <w:rFonts w:ascii="宋体" w:hAnsi="宋体" w:eastAsia="宋体"/>
        </w:rPr>
        <w:t>采用煤焦油加工中生产的洗油作为废气中焦油、苯、</w:t>
      </w:r>
      <w:r>
        <w:rPr>
          <w:rFonts w:hint="eastAsia" w:ascii="宋体" w:hAnsi="宋体" w:eastAsia="宋体"/>
          <w:color w:val="000000"/>
        </w:rPr>
        <w:t>萘有机组分的吸收剂。洗油的参数要求如下：</w:t>
      </w:r>
      <w:bookmarkEnd w:id="117"/>
    </w:p>
    <w:p>
      <w:pPr>
        <w:pStyle w:val="134"/>
      </w:pPr>
      <w:r>
        <w:rPr>
          <w:rFonts w:hint="eastAsia"/>
        </w:rPr>
        <w:t>馏程：230℃</w:t>
      </w:r>
      <w:r>
        <w:rPr>
          <w:rFonts w:hint="eastAsia" w:hAnsi="宋体"/>
        </w:rPr>
        <w:t>～</w:t>
      </w:r>
      <w:r>
        <w:rPr>
          <w:rFonts w:hint="eastAsia"/>
        </w:rPr>
        <w:t>300℃；</w:t>
      </w:r>
    </w:p>
    <w:p>
      <w:pPr>
        <w:pStyle w:val="134"/>
      </w:pPr>
      <w:r>
        <w:rPr>
          <w:rFonts w:hint="eastAsia"/>
        </w:rPr>
        <w:t>苯：0.4%</w:t>
      </w:r>
      <w:r>
        <w:rPr>
          <w:rFonts w:hint="eastAsia" w:hAnsi="宋体"/>
        </w:rPr>
        <w:t>～</w:t>
      </w:r>
      <w:r>
        <w:rPr>
          <w:rFonts w:hint="eastAsia"/>
        </w:rPr>
        <w:t>0.6%；</w:t>
      </w:r>
    </w:p>
    <w:p>
      <w:pPr>
        <w:pStyle w:val="134"/>
      </w:pPr>
      <w:r>
        <w:rPr>
          <w:rFonts w:hint="eastAsia"/>
        </w:rPr>
        <w:t>萘≤13%；</w:t>
      </w:r>
      <w:r>
        <w:rPr>
          <w:rFonts w:hint="eastAsia"/>
        </w:rPr>
        <w:tab/>
      </w:r>
    </w:p>
    <w:p>
      <w:pPr>
        <w:pStyle w:val="134"/>
      </w:pPr>
      <w:r>
        <w:rPr>
          <w:rFonts w:hint="eastAsia"/>
        </w:rPr>
        <w:t>苊≤5%；</w:t>
      </w:r>
    </w:p>
    <w:p>
      <w:pPr>
        <w:pStyle w:val="134"/>
      </w:pPr>
      <w:r>
        <w:rPr>
          <w:rFonts w:hint="eastAsia"/>
        </w:rPr>
        <w:t>甲基萘＞10%；</w:t>
      </w:r>
    </w:p>
    <w:p>
      <w:pPr>
        <w:pStyle w:val="134"/>
      </w:pPr>
      <w:r>
        <w:rPr>
          <w:rFonts w:hint="eastAsia"/>
        </w:rPr>
        <w:t>洗油的平均分子量在160左右；</w:t>
      </w:r>
    </w:p>
    <w:p>
      <w:pPr>
        <w:pStyle w:val="134"/>
      </w:pPr>
      <w:r>
        <w:rPr>
          <w:rFonts w:hint="eastAsia"/>
        </w:rPr>
        <w:t>在15℃时无结晶物出现。</w:t>
      </w:r>
    </w:p>
    <w:p>
      <w:pPr>
        <w:pStyle w:val="67"/>
        <w:spacing w:before="120" w:after="120"/>
      </w:pPr>
      <w:bookmarkStart w:id="118" w:name="_Toc152331860"/>
      <w:r>
        <w:rPr>
          <w:rFonts w:hint="eastAsia"/>
        </w:rPr>
        <w:t>吸收塔系统的设计应符合下列规定：</w:t>
      </w:r>
      <w:bookmarkEnd w:id="118"/>
    </w:p>
    <w:p>
      <w:pPr>
        <w:pStyle w:val="134"/>
      </w:pPr>
      <w:r>
        <w:rPr>
          <w:rFonts w:hint="eastAsia"/>
        </w:rPr>
        <w:t>吸收塔宜为填料式；</w:t>
      </w:r>
    </w:p>
    <w:p>
      <w:pPr>
        <w:pStyle w:val="134"/>
      </w:pPr>
      <w:r>
        <w:rPr>
          <w:rFonts w:hint="eastAsia"/>
        </w:rPr>
        <w:t>填料宜为不锈钢规整填料或散堆填料，压降不宜高于1000Pa；</w:t>
      </w:r>
    </w:p>
    <w:p>
      <w:pPr>
        <w:pStyle w:val="134"/>
      </w:pPr>
      <w:r>
        <w:rPr>
          <w:rFonts w:hint="eastAsia"/>
        </w:rPr>
        <w:t>吸收塔的设计压力应大于等于0.35MPa；</w:t>
      </w:r>
    </w:p>
    <w:p>
      <w:pPr>
        <w:pStyle w:val="134"/>
      </w:pPr>
      <w:r>
        <w:rPr>
          <w:rFonts w:hint="eastAsia"/>
        </w:rPr>
        <w:t>塔底液体段应设置液位仪表，并应采取液位控制联锁措施；</w:t>
      </w:r>
    </w:p>
    <w:p>
      <w:pPr>
        <w:pStyle w:val="134"/>
      </w:pPr>
      <w:r>
        <w:rPr>
          <w:rFonts w:hint="eastAsia"/>
        </w:rPr>
        <w:t>吸收塔入口管线设置温度及压力变送器、蒸汽吹扫管线；</w:t>
      </w:r>
    </w:p>
    <w:p>
      <w:pPr>
        <w:pStyle w:val="134"/>
      </w:pPr>
      <w:r>
        <w:rPr>
          <w:rFonts w:hint="eastAsia" w:hAnsi="宋体"/>
          <w:bCs/>
        </w:rPr>
        <w:t>吸收塔出口应设置压力变送器。</w:t>
      </w:r>
    </w:p>
    <w:p>
      <w:pPr>
        <w:pStyle w:val="67"/>
        <w:spacing w:before="120" w:after="120"/>
      </w:pPr>
      <w:bookmarkStart w:id="119" w:name="_Toc152331861"/>
      <w:r>
        <w:rPr>
          <w:rFonts w:hint="eastAsia"/>
        </w:rPr>
        <w:t>油洗系统的设计应满足下列规定：</w:t>
      </w:r>
      <w:bookmarkEnd w:id="119"/>
    </w:p>
    <w:p>
      <w:pPr>
        <w:pStyle w:val="134"/>
      </w:pPr>
      <w:r>
        <w:rPr>
          <w:rFonts w:hint="eastAsia"/>
        </w:rPr>
        <w:t>可采用控制洗油温度的方法提高吸收效率；</w:t>
      </w:r>
    </w:p>
    <w:p>
      <w:pPr>
        <w:pStyle w:val="134"/>
      </w:pPr>
      <w:r>
        <w:rPr>
          <w:rFonts w:hint="eastAsia"/>
        </w:rPr>
        <w:t>贫油采用泵输送至吸收塔储液段，管路设流量计、控制阀，控制阀与吸收塔液位联锁；</w:t>
      </w:r>
    </w:p>
    <w:p>
      <w:pPr>
        <w:pStyle w:val="134"/>
      </w:pPr>
      <w:r>
        <w:rPr>
          <w:rFonts w:hint="eastAsia"/>
        </w:rPr>
        <w:t>富油输出管线设置控制阀，与吸收塔液位联锁。</w:t>
      </w:r>
    </w:p>
    <w:p>
      <w:pPr>
        <w:pStyle w:val="67"/>
        <w:spacing w:before="120" w:after="120"/>
      </w:pPr>
      <w:bookmarkStart w:id="120" w:name="_Toc152331862"/>
      <w:r>
        <w:rPr>
          <w:rFonts w:hint="eastAsia" w:ascii="宋体" w:hAnsi="宋体" w:eastAsia="宋体"/>
        </w:rPr>
        <w:t>应在预处理区域设置洗眼器</w:t>
      </w:r>
      <w:r>
        <w:rPr>
          <w:rFonts w:hint="eastAsia"/>
        </w:rPr>
        <w:t>。</w:t>
      </w:r>
      <w:bookmarkEnd w:id="120"/>
    </w:p>
    <w:p>
      <w:pPr>
        <w:pStyle w:val="107"/>
        <w:spacing w:before="120" w:after="120"/>
      </w:pPr>
      <w:bookmarkStart w:id="121" w:name="_Toc152331863"/>
      <w:r>
        <w:rPr>
          <w:rFonts w:hint="eastAsia"/>
        </w:rPr>
        <w:t>末端处理单元</w:t>
      </w:r>
      <w:bookmarkEnd w:id="121"/>
    </w:p>
    <w:p>
      <w:pPr>
        <w:pStyle w:val="67"/>
        <w:spacing w:before="120" w:after="120"/>
      </w:pPr>
      <w:bookmarkStart w:id="122" w:name="_Toc152331864"/>
      <w:r>
        <w:rPr>
          <w:rFonts w:hint="eastAsia"/>
        </w:rPr>
        <w:t>蓄热燃烧装置（RTO）</w:t>
      </w:r>
      <w:bookmarkEnd w:id="122"/>
    </w:p>
    <w:p>
      <w:pPr>
        <w:pStyle w:val="96"/>
        <w:spacing w:before="120" w:after="120"/>
        <w:rPr>
          <w:rFonts w:ascii="宋体" w:hAnsi="宋体" w:eastAsia="宋体"/>
        </w:rPr>
      </w:pPr>
      <w:r>
        <w:rPr>
          <w:rFonts w:hint="eastAsia" w:ascii="宋体" w:hAnsi="宋体" w:eastAsia="宋体"/>
        </w:rPr>
        <w:t>蓄热燃烧装置应符合HJ 1093的规定。</w:t>
      </w:r>
    </w:p>
    <w:p>
      <w:pPr>
        <w:pStyle w:val="96"/>
        <w:spacing w:before="120" w:after="120"/>
        <w:rPr>
          <w:rFonts w:ascii="宋体" w:hAnsi="宋体" w:eastAsia="宋体"/>
        </w:rPr>
      </w:pPr>
      <w:r>
        <w:rPr>
          <w:rFonts w:hint="eastAsia" w:ascii="宋体" w:hAnsi="宋体" w:eastAsia="宋体"/>
        </w:rPr>
        <w:t>RTO入口宜设置分液罐和切断阀，分液罐出口宜设置捕雾器，进入RTO的废气中颗粒物浓度应低于5mg/m</w:t>
      </w:r>
      <w:r>
        <w:rPr>
          <w:rFonts w:hint="eastAsia" w:ascii="宋体" w:hAnsi="宋体" w:eastAsia="宋体"/>
          <w:vertAlign w:val="superscript"/>
        </w:rPr>
        <w:t xml:space="preserve">3 </w:t>
      </w:r>
      <w:r>
        <w:rPr>
          <w:rFonts w:hint="eastAsia" w:ascii="宋体" w:hAnsi="宋体" w:eastAsia="宋体"/>
        </w:rPr>
        <w:t>。</w:t>
      </w:r>
    </w:p>
    <w:p>
      <w:pPr>
        <w:pStyle w:val="96"/>
        <w:spacing w:before="120" w:after="120"/>
        <w:rPr>
          <w:rFonts w:ascii="宋体" w:hAnsi="宋体" w:eastAsia="宋体"/>
        </w:rPr>
      </w:pPr>
      <w:r>
        <w:rPr>
          <w:rFonts w:hint="eastAsia" w:ascii="宋体" w:hAnsi="宋体" w:eastAsia="宋体"/>
        </w:rPr>
        <w:t>进入RTO的混合可燃废气浓度应低于最易爆组分或混合气体爆炸极限下限最低值的25%，及</w:t>
      </w:r>
      <w:r>
        <w:rPr>
          <w:rFonts w:ascii="宋体" w:hAnsi="宋体" w:eastAsia="宋体"/>
        </w:rPr>
        <w:t>P＜min(Pe，Pm )×25%，其中 Pe为最易爆组分爆炸极限下限（%）；Pm 为混合气体爆炸极限下限（%）。</w:t>
      </w:r>
    </w:p>
    <w:p>
      <w:pPr>
        <w:pStyle w:val="96"/>
        <w:spacing w:before="120" w:after="120"/>
        <w:rPr>
          <w:rFonts w:ascii="宋体" w:hAnsi="宋体" w:eastAsia="宋体"/>
        </w:rPr>
      </w:pPr>
      <w:r>
        <w:rPr>
          <w:rFonts w:hint="eastAsia" w:ascii="宋体" w:hAnsi="宋体" w:eastAsia="宋体"/>
        </w:rPr>
        <w:t>应通过预处理、稀释等措施严格控制进RTO废气的可燃组分浓度，充分计算、评估进RTO废气的可燃组分浓度</w:t>
      </w:r>
      <w:r>
        <w:rPr>
          <w:rFonts w:ascii="宋体" w:hAnsi="宋体" w:eastAsia="宋体"/>
          <w:color w:val="000000"/>
        </w:rPr>
        <w:t>对氧化室温度的影响，确保炉内温度在正常的范围</w:t>
      </w:r>
      <w:r>
        <w:rPr>
          <w:rFonts w:hint="eastAsia" w:ascii="宋体" w:hAnsi="宋体" w:eastAsia="宋体"/>
          <w:color w:val="000000"/>
        </w:rPr>
        <w:t>运行</w:t>
      </w:r>
      <w:r>
        <w:rPr>
          <w:rFonts w:ascii="宋体" w:hAnsi="宋体" w:eastAsia="宋体"/>
          <w:color w:val="000000"/>
        </w:rPr>
        <w:t>。</w:t>
      </w:r>
    </w:p>
    <w:p>
      <w:pPr>
        <w:pStyle w:val="96"/>
        <w:spacing w:before="120" w:after="120"/>
        <w:rPr>
          <w:rFonts w:ascii="宋体" w:hAnsi="宋体" w:eastAsia="宋体"/>
        </w:rPr>
      </w:pPr>
      <w:r>
        <w:rPr>
          <w:rFonts w:ascii="宋体" w:hAnsi="宋体" w:eastAsia="宋体"/>
        </w:rPr>
        <w:t>RTO 系统应进行安全风险评估论证，应进行 HAZOP分析并采取相应的安全措施。</w:t>
      </w:r>
    </w:p>
    <w:p>
      <w:pPr>
        <w:pStyle w:val="96"/>
        <w:spacing w:before="120" w:after="120"/>
        <w:rPr>
          <w:rFonts w:ascii="宋体" w:hAnsi="宋体" w:eastAsia="宋体"/>
        </w:rPr>
      </w:pPr>
      <w:r>
        <w:rPr>
          <w:rFonts w:ascii="宋体" w:hAnsi="宋体" w:eastAsia="宋体"/>
        </w:rPr>
        <w:t>在RTO进口管道上， 应根据安全风险评估结果配置LEL在线检测仪。</w:t>
      </w:r>
    </w:p>
    <w:p>
      <w:pPr>
        <w:pStyle w:val="96"/>
        <w:spacing w:before="120" w:after="120"/>
        <w:rPr>
          <w:rFonts w:ascii="宋体" w:hAnsi="宋体" w:eastAsia="宋体"/>
        </w:rPr>
      </w:pPr>
      <w:r>
        <w:rPr>
          <w:rFonts w:ascii="宋体" w:hAnsi="宋体" w:eastAsia="宋体"/>
        </w:rPr>
        <w:t>LEL应选用氢火焰燃烧温度测量原理，并根据废气中氧浓度选择适应的型号。</w:t>
      </w:r>
    </w:p>
    <w:p>
      <w:pPr>
        <w:pStyle w:val="96"/>
        <w:spacing w:before="120" w:after="120"/>
        <w:rPr>
          <w:rFonts w:ascii="宋体" w:hAnsi="宋体" w:eastAsia="宋体"/>
        </w:rPr>
      </w:pPr>
      <w:r>
        <w:rPr>
          <w:rFonts w:ascii="宋体" w:hAnsi="宋体" w:eastAsia="宋体"/>
        </w:rPr>
        <w:t>LEL测量精度小于±3% F.S。</w:t>
      </w:r>
    </w:p>
    <w:p>
      <w:pPr>
        <w:pStyle w:val="96"/>
        <w:spacing w:before="120" w:after="120"/>
        <w:rPr>
          <w:rFonts w:ascii="宋体" w:hAnsi="宋体" w:eastAsia="宋体"/>
        </w:rPr>
      </w:pPr>
      <w:r>
        <w:rPr>
          <w:rFonts w:ascii="宋体" w:hAnsi="宋体" w:eastAsia="宋体"/>
        </w:rPr>
        <w:t>LEL安装的位置距RTO管道等效长度（ L</w:t>
      </w:r>
      <w:r>
        <w:rPr>
          <w:rFonts w:hint="eastAsia" w:ascii="宋体" w:hAnsi="宋体" w:eastAsia="宋体"/>
        </w:rPr>
        <w:t>（m）</w:t>
      </w:r>
      <w:r>
        <w:rPr>
          <w:rFonts w:ascii="宋体" w:hAnsi="宋体" w:eastAsia="宋体"/>
        </w:rPr>
        <w:t>）应综合考虑</w:t>
      </w:r>
      <w:r>
        <w:rPr>
          <w:rFonts w:hint="eastAsia" w:ascii="宋体" w:hAnsi="宋体" w:eastAsia="宋体"/>
        </w:rPr>
        <w:t>LEL</w:t>
      </w:r>
      <w:r>
        <w:rPr>
          <w:rFonts w:ascii="宋体" w:hAnsi="宋体" w:eastAsia="宋体"/>
        </w:rPr>
        <w:t>检测器响应时间（ t1）、切断阀</w:t>
      </w:r>
      <w:r>
        <w:rPr>
          <w:rFonts w:hint="eastAsia" w:ascii="宋体" w:hAnsi="宋体" w:eastAsia="宋体"/>
        </w:rPr>
        <w:t>完全关闭耗时</w:t>
      </w:r>
      <w:r>
        <w:rPr>
          <w:rFonts w:ascii="宋体" w:hAnsi="宋体" w:eastAsia="宋体"/>
        </w:rPr>
        <w:t>(t2)和废气的流速(v</w:t>
      </w:r>
      <w:r>
        <w:rPr>
          <w:rFonts w:hint="eastAsia" w:ascii="宋体" w:hAnsi="宋体" w:eastAsia="宋体"/>
        </w:rPr>
        <w:t>（m/s）</w:t>
      </w:r>
      <w:r>
        <w:rPr>
          <w:rFonts w:ascii="宋体" w:hAnsi="宋体" w:eastAsia="宋体"/>
        </w:rPr>
        <w:t>)的关系，</w:t>
      </w:r>
      <w:r>
        <w:rPr>
          <w:rFonts w:hint="eastAsia" w:ascii="宋体" w:hAnsi="宋体" w:eastAsia="宋体"/>
        </w:rPr>
        <w:t>确保</w:t>
      </w:r>
      <w:r>
        <w:rPr>
          <w:rFonts w:ascii="宋体" w:hAnsi="宋体" w:eastAsia="宋体"/>
        </w:rPr>
        <w:t xml:space="preserve"> L＞ v</w:t>
      </w:r>
      <w:r>
        <w:rPr>
          <w:rFonts w:hint="eastAsia" w:ascii="宋体" w:hAnsi="宋体" w:eastAsia="宋体"/>
        </w:rPr>
        <w:t>×</w:t>
      </w:r>
      <w:r>
        <w:rPr>
          <w:rFonts w:ascii="宋体" w:hAnsi="宋体" w:eastAsia="宋体"/>
        </w:rPr>
        <w:t>(t1+t2)。</w:t>
      </w:r>
    </w:p>
    <w:p>
      <w:pPr>
        <w:pStyle w:val="96"/>
        <w:spacing w:before="120" w:after="120"/>
        <w:rPr>
          <w:rFonts w:ascii="宋体" w:hAnsi="宋体" w:eastAsia="宋体"/>
        </w:rPr>
      </w:pPr>
      <w:r>
        <w:rPr>
          <w:rFonts w:ascii="宋体" w:hAnsi="宋体" w:eastAsia="宋体"/>
        </w:rPr>
        <w:t>LEL应与进入RTO系统的废气切断阀、</w:t>
      </w:r>
      <w:r>
        <w:rPr>
          <w:rFonts w:ascii="宋体" w:hAnsi="宋体" w:eastAsia="宋体"/>
          <w:color w:val="FF0000"/>
        </w:rPr>
        <w:t xml:space="preserve"> </w:t>
      </w:r>
      <w:r>
        <w:rPr>
          <w:rFonts w:ascii="宋体" w:hAnsi="宋体" w:eastAsia="宋体"/>
        </w:rPr>
        <w:t xml:space="preserve">新风阀、 紧急排放阀联锁。 </w:t>
      </w:r>
    </w:p>
    <w:p>
      <w:pPr>
        <w:pStyle w:val="96"/>
        <w:spacing w:before="120" w:after="120"/>
        <w:rPr>
          <w:rFonts w:ascii="宋体" w:hAnsi="宋体" w:eastAsia="宋体"/>
        </w:rPr>
      </w:pPr>
      <w:r>
        <w:rPr>
          <w:rFonts w:ascii="宋体" w:hAnsi="宋体" w:eastAsia="宋体"/>
        </w:rPr>
        <w:t>RTO系统应设置防止炉膛过热的保护措施</w:t>
      </w:r>
      <w:r>
        <w:rPr>
          <w:rFonts w:hint="eastAsia" w:ascii="宋体" w:hAnsi="宋体" w:eastAsia="宋体"/>
        </w:rPr>
        <w:t>。</w:t>
      </w:r>
    </w:p>
    <w:p>
      <w:pPr>
        <w:pStyle w:val="96"/>
        <w:spacing w:before="120" w:after="120"/>
        <w:rPr>
          <w:rStyle w:val="233"/>
          <w:rFonts w:ascii="宋体" w:hAnsi="宋体" w:eastAsia="宋体"/>
        </w:rPr>
      </w:pPr>
      <w:r>
        <w:rPr>
          <w:rFonts w:ascii="宋体" w:hAnsi="宋体" w:eastAsia="宋体"/>
        </w:rPr>
        <w:t>RTO 系统应通过强制通风措施，满足最低通风量要求，避免可燃物积聚、回火等。</w:t>
      </w:r>
    </w:p>
    <w:p>
      <w:pPr>
        <w:pStyle w:val="96"/>
        <w:spacing w:before="120" w:after="120"/>
        <w:rPr>
          <w:rFonts w:ascii="宋体" w:hAnsi="宋体" w:eastAsia="宋体"/>
        </w:rPr>
      </w:pPr>
      <w:r>
        <w:rPr>
          <w:rFonts w:ascii="宋体" w:hAnsi="宋体" w:eastAsia="宋体"/>
        </w:rPr>
        <w:t>RTO装置入口设置阻爆轰型阻火器或防爆水封罐，优先选择防爆水封罐</w:t>
      </w:r>
      <w:r>
        <w:rPr>
          <w:rFonts w:hint="eastAsia" w:ascii="宋体" w:hAnsi="宋体" w:eastAsia="宋体"/>
        </w:rPr>
        <w:t>，防止回火的发生</w:t>
      </w:r>
      <w:r>
        <w:rPr>
          <w:rFonts w:ascii="宋体" w:hAnsi="宋体" w:eastAsia="宋体"/>
        </w:rPr>
        <w:t>。</w:t>
      </w:r>
    </w:p>
    <w:p>
      <w:pPr>
        <w:pStyle w:val="96"/>
        <w:spacing w:before="120" w:after="120"/>
        <w:rPr>
          <w:kern w:val="2"/>
        </w:rPr>
      </w:pPr>
      <w:r>
        <w:rPr>
          <w:rFonts w:ascii="宋体" w:hAnsi="宋体" w:eastAsia="宋体"/>
        </w:rPr>
        <w:t>在RTO前设置的防爆水封罐，应具备</w:t>
      </w:r>
      <w:r>
        <w:t>：</w:t>
      </w:r>
    </w:p>
    <w:p>
      <w:pPr>
        <w:pStyle w:val="134"/>
      </w:pPr>
      <w:r>
        <w:t>水封应具备水位监控，自动补水，自动溢流的功能</w:t>
      </w:r>
      <w:r>
        <w:rPr>
          <w:rFonts w:hint="eastAsia"/>
        </w:rPr>
        <w:t>；</w:t>
      </w:r>
    </w:p>
    <w:p>
      <w:pPr>
        <w:pStyle w:val="134"/>
      </w:pPr>
      <w:r>
        <w:t>寒冷地区，水封罐应设置蒸汽加热功能，防止冬季结冰</w:t>
      </w:r>
      <w:r>
        <w:rPr>
          <w:rFonts w:hint="eastAsia"/>
        </w:rPr>
        <w:t>；</w:t>
      </w:r>
    </w:p>
    <w:p>
      <w:pPr>
        <w:pStyle w:val="134"/>
      </w:pPr>
      <w:r>
        <w:t>水封罐上应设置检修人孔</w:t>
      </w:r>
      <w:r>
        <w:rPr>
          <w:rFonts w:hint="eastAsia"/>
        </w:rPr>
        <w:t>；</w:t>
      </w:r>
    </w:p>
    <w:p>
      <w:pPr>
        <w:pStyle w:val="134"/>
      </w:pPr>
      <w:r>
        <w:t>水封罐应符合AQ</w:t>
      </w:r>
      <w:r>
        <w:rPr>
          <w:rFonts w:hint="eastAsia"/>
        </w:rPr>
        <w:t xml:space="preserve"> </w:t>
      </w:r>
      <w:r>
        <w:t>1072的</w:t>
      </w:r>
      <w:r>
        <w:rPr>
          <w:rFonts w:hint="eastAsia"/>
        </w:rPr>
        <w:t>规定</w:t>
      </w:r>
      <w:r>
        <w:t>。</w:t>
      </w:r>
    </w:p>
    <w:p>
      <w:pPr>
        <w:pStyle w:val="96"/>
        <w:spacing w:before="120" w:after="120"/>
        <w:rPr>
          <w:rFonts w:ascii="宋体" w:hAnsi="宋体" w:eastAsia="宋体"/>
        </w:rPr>
      </w:pPr>
      <w:r>
        <w:rPr>
          <w:rFonts w:ascii="宋体" w:hAnsi="宋体" w:eastAsia="宋体"/>
        </w:rPr>
        <w:t>前阻火器应设置压差检测仪表</w:t>
      </w:r>
      <w:r>
        <w:rPr>
          <w:rFonts w:hint="eastAsia" w:ascii="宋体" w:hAnsi="宋体" w:eastAsia="宋体"/>
        </w:rPr>
        <w:t>。</w:t>
      </w:r>
    </w:p>
    <w:p>
      <w:pPr>
        <w:pStyle w:val="96"/>
        <w:spacing w:before="120" w:after="120"/>
        <w:rPr>
          <w:rFonts w:ascii="宋体" w:hAnsi="宋体" w:eastAsia="宋体"/>
        </w:rPr>
      </w:pPr>
      <w:r>
        <w:rPr>
          <w:rFonts w:ascii="宋体" w:hAnsi="宋体" w:eastAsia="宋体"/>
        </w:rPr>
        <w:t>RTO 应具备反烧和吹扫功能。</w:t>
      </w:r>
    </w:p>
    <w:p>
      <w:pPr>
        <w:pStyle w:val="96"/>
        <w:spacing w:before="120" w:after="120"/>
        <w:rPr>
          <w:rFonts w:ascii="宋体" w:hAnsi="宋体" w:eastAsia="宋体"/>
        </w:rPr>
      </w:pPr>
      <w:r>
        <w:rPr>
          <w:rFonts w:ascii="宋体" w:hAnsi="宋体" w:eastAsia="宋体"/>
        </w:rPr>
        <w:t>RT</w:t>
      </w:r>
      <w:r>
        <w:rPr>
          <w:rFonts w:hint="eastAsia" w:ascii="宋体" w:hAnsi="宋体" w:eastAsia="宋体"/>
        </w:rPr>
        <w:t>O</w:t>
      </w:r>
      <w:r>
        <w:rPr>
          <w:rFonts w:ascii="宋体" w:hAnsi="宋体" w:eastAsia="宋体"/>
        </w:rPr>
        <w:t>系统应设置断电断气（仪表风）后，紧急排放阀打开，炉体进气阀、排气阀关闭，防止烟囱效应引起蓄热层下部温度上升。</w:t>
      </w:r>
    </w:p>
    <w:p>
      <w:pPr>
        <w:pStyle w:val="96"/>
        <w:spacing w:before="120" w:after="120"/>
        <w:rPr>
          <w:rFonts w:ascii="宋体" w:hAnsi="宋体" w:eastAsia="宋体"/>
        </w:rPr>
      </w:pPr>
      <w:r>
        <w:rPr>
          <w:rFonts w:ascii="宋体" w:hAnsi="宋体" w:eastAsia="宋体"/>
        </w:rPr>
        <w:t>对于浓度较高且含有低燃点物质的应急排空管道，严禁与高温排空管道共用烟囱排放。</w:t>
      </w:r>
    </w:p>
    <w:p>
      <w:pPr>
        <w:pStyle w:val="96"/>
        <w:spacing w:before="120" w:after="120"/>
        <w:rPr>
          <w:rFonts w:ascii="宋体" w:hAnsi="宋体" w:eastAsia="宋体"/>
        </w:rPr>
      </w:pPr>
      <w:r>
        <w:rPr>
          <w:rFonts w:ascii="宋体" w:hAnsi="宋体" w:eastAsia="宋体"/>
        </w:rPr>
        <w:t>宜在烟囱前设置</w:t>
      </w:r>
      <w:r>
        <w:rPr>
          <w:rFonts w:hint="eastAsia" w:ascii="宋体" w:hAnsi="宋体" w:eastAsia="宋体"/>
        </w:rPr>
        <w:t>炉膛高温烟气与经蓄热陶瓷冷却的低温烟气</w:t>
      </w:r>
      <w:r>
        <w:rPr>
          <w:rFonts w:ascii="宋体" w:hAnsi="宋体" w:eastAsia="宋体"/>
        </w:rPr>
        <w:t>混风罐，以确保事故时可降低烟温，实现烟囱排放。</w:t>
      </w:r>
    </w:p>
    <w:p>
      <w:pPr>
        <w:pStyle w:val="96"/>
        <w:spacing w:before="120" w:after="120"/>
        <w:rPr>
          <w:rFonts w:ascii="宋体" w:hAnsi="宋体" w:eastAsia="宋体"/>
        </w:rPr>
      </w:pPr>
      <w:r>
        <w:rPr>
          <w:rFonts w:ascii="宋体" w:hAnsi="宋体" w:eastAsia="宋体"/>
        </w:rPr>
        <w:t>仪表风系统应设置缓冲罐或压缩空气储气罐、 低压保护及联锁报警。当采用氮气作为仪表风时，应确保氮气质量和性能参数满足仪表风指标要求，并确保使用环境敞开，在密闭空间使用时，应设置氧含量报警仪。</w:t>
      </w:r>
    </w:p>
    <w:p>
      <w:pPr>
        <w:pStyle w:val="96"/>
        <w:spacing w:before="120" w:after="120"/>
        <w:rPr>
          <w:rFonts w:ascii="宋体" w:hAnsi="宋体" w:eastAsia="宋体"/>
        </w:rPr>
      </w:pPr>
      <w:r>
        <w:rPr>
          <w:rFonts w:ascii="宋体" w:hAnsi="宋体" w:eastAsia="宋体"/>
        </w:rPr>
        <w:t>采用焦炉煤气作为燃料时，煤气管道应从煤气主管的顶部接出，并在增压风机前设置排水设施，排水设施</w:t>
      </w:r>
      <w:r>
        <w:rPr>
          <w:rFonts w:hint="eastAsia" w:ascii="宋体" w:hAnsi="宋体" w:eastAsia="宋体"/>
        </w:rPr>
        <w:t>应符合</w:t>
      </w:r>
      <w:r>
        <w:rPr>
          <w:rFonts w:ascii="宋体" w:hAnsi="宋体" w:eastAsia="宋体"/>
        </w:rPr>
        <w:t>AQ</w:t>
      </w:r>
      <w:r>
        <w:rPr>
          <w:rFonts w:hint="eastAsia" w:ascii="宋体" w:hAnsi="宋体" w:eastAsia="宋体"/>
        </w:rPr>
        <w:t xml:space="preserve"> </w:t>
      </w:r>
      <w:r>
        <w:rPr>
          <w:rFonts w:ascii="宋体" w:hAnsi="宋体" w:eastAsia="宋体"/>
        </w:rPr>
        <w:t>7012</w:t>
      </w:r>
      <w:r>
        <w:rPr>
          <w:rFonts w:hint="eastAsia" w:ascii="宋体" w:hAnsi="宋体" w:eastAsia="宋体"/>
        </w:rPr>
        <w:t>的规定</w:t>
      </w:r>
      <w:r>
        <w:rPr>
          <w:rFonts w:ascii="宋体" w:hAnsi="宋体" w:eastAsia="宋体"/>
        </w:rPr>
        <w:t>。</w:t>
      </w:r>
    </w:p>
    <w:p>
      <w:pPr>
        <w:pStyle w:val="96"/>
        <w:spacing w:before="120" w:after="120"/>
        <w:rPr>
          <w:rFonts w:ascii="宋体" w:hAnsi="宋体" w:eastAsia="宋体"/>
        </w:rPr>
      </w:pPr>
      <w:r>
        <w:rPr>
          <w:rFonts w:ascii="宋体" w:hAnsi="宋体" w:eastAsia="宋体"/>
        </w:rPr>
        <w:t>煤气输送管道进RTO管路应设置盲板阀和切断阀进行有效隔离。</w:t>
      </w:r>
    </w:p>
    <w:p>
      <w:pPr>
        <w:pStyle w:val="96"/>
        <w:spacing w:before="120" w:after="120"/>
        <w:rPr>
          <w:rFonts w:ascii="宋体" w:hAnsi="宋体" w:eastAsia="宋体"/>
        </w:rPr>
      </w:pPr>
      <w:r>
        <w:rPr>
          <w:rFonts w:ascii="宋体" w:hAnsi="宋体" w:eastAsia="宋体"/>
        </w:rPr>
        <w:t>煤气输送管道进蓄热燃烧装置应设置放散口、取样口和氮气吹扫口，且</w:t>
      </w:r>
      <w:r>
        <w:rPr>
          <w:rFonts w:hint="eastAsia" w:ascii="宋体" w:hAnsi="宋体" w:eastAsia="宋体"/>
        </w:rPr>
        <w:t>应符合</w:t>
      </w:r>
      <w:r>
        <w:rPr>
          <w:rFonts w:ascii="宋体" w:hAnsi="宋体" w:eastAsia="宋体"/>
        </w:rPr>
        <w:t>GB</w:t>
      </w:r>
      <w:r>
        <w:rPr>
          <w:rFonts w:hint="eastAsia" w:ascii="宋体" w:hAnsi="宋体" w:eastAsia="宋体"/>
        </w:rPr>
        <w:t xml:space="preserve"> </w:t>
      </w:r>
      <w:r>
        <w:rPr>
          <w:rFonts w:ascii="宋体" w:hAnsi="宋体" w:eastAsia="宋体"/>
        </w:rPr>
        <w:t>6222的相关</w:t>
      </w:r>
      <w:r>
        <w:rPr>
          <w:rFonts w:hint="eastAsia" w:ascii="宋体" w:hAnsi="宋体" w:eastAsia="宋体"/>
        </w:rPr>
        <w:t>规定</w:t>
      </w:r>
      <w:r>
        <w:rPr>
          <w:rFonts w:ascii="宋体" w:hAnsi="宋体" w:eastAsia="宋体"/>
        </w:rPr>
        <w:t>。</w:t>
      </w:r>
    </w:p>
    <w:p>
      <w:pPr>
        <w:pStyle w:val="96"/>
        <w:spacing w:before="120" w:after="120"/>
        <w:rPr>
          <w:rFonts w:ascii="宋体" w:hAnsi="宋体" w:eastAsia="宋体"/>
        </w:rPr>
      </w:pPr>
      <w:r>
        <w:rPr>
          <w:rFonts w:ascii="宋体" w:hAnsi="宋体" w:eastAsia="宋体"/>
        </w:rPr>
        <w:t>煤气增压风机进口宜设置可供在线检修备用过滤器，在风机出口设置压力变送器与风机频率联锁，并设置高低压力报警。</w:t>
      </w:r>
    </w:p>
    <w:p>
      <w:pPr>
        <w:pStyle w:val="96"/>
        <w:spacing w:before="120" w:after="120"/>
        <w:rPr>
          <w:rFonts w:ascii="宋体" w:hAnsi="宋体" w:eastAsia="宋体"/>
        </w:rPr>
      </w:pPr>
      <w:r>
        <w:rPr>
          <w:rFonts w:ascii="宋体" w:hAnsi="宋体" w:eastAsia="宋体"/>
        </w:rPr>
        <w:t>废气风机采用变频器调速以适应不同的风量要求。</w:t>
      </w:r>
    </w:p>
    <w:p>
      <w:pPr>
        <w:pStyle w:val="96"/>
        <w:spacing w:before="120" w:after="120"/>
        <w:rPr>
          <w:rFonts w:ascii="宋体" w:hAnsi="宋体" w:eastAsia="宋体"/>
        </w:rPr>
      </w:pPr>
      <w:r>
        <w:rPr>
          <w:rFonts w:ascii="宋体" w:hAnsi="宋体" w:eastAsia="宋体"/>
        </w:rPr>
        <w:t>应对不同的进出气室组合进行流场模拟，确保炉内无死角，废气在经过炉膛时流速均匀；确保净化效率不应低于98%。</w:t>
      </w:r>
    </w:p>
    <w:p>
      <w:pPr>
        <w:pStyle w:val="96"/>
        <w:spacing w:before="120" w:after="120"/>
        <w:rPr>
          <w:rFonts w:ascii="宋体" w:hAnsi="宋体" w:eastAsia="宋体"/>
        </w:rPr>
      </w:pPr>
      <w:r>
        <w:rPr>
          <w:rFonts w:ascii="宋体" w:hAnsi="宋体" w:eastAsia="宋体"/>
        </w:rPr>
        <w:t>RTO系统关键控制要求</w:t>
      </w:r>
      <w:r>
        <w:rPr>
          <w:rFonts w:hint="eastAsia" w:ascii="宋体" w:hAnsi="宋体" w:eastAsia="宋体"/>
        </w:rPr>
        <w:t>：</w:t>
      </w:r>
    </w:p>
    <w:p>
      <w:pPr>
        <w:pStyle w:val="134"/>
      </w:pPr>
      <w:r>
        <w:t>设置炉膛温度</w:t>
      </w:r>
      <w:r>
        <w:rPr>
          <w:rFonts w:hint="eastAsia"/>
        </w:rPr>
        <w:t>高报警、</w:t>
      </w:r>
      <w:r>
        <w:t>联锁：运行过程中，当炉膛温度达到</w:t>
      </w:r>
      <w:r>
        <w:rPr>
          <w:rFonts w:hint="eastAsia"/>
        </w:rPr>
        <w:t>高</w:t>
      </w:r>
      <w:r>
        <w:t>报警值时，通过增加新鲜空气供给量、减少燃气供给量或开启高温控制阀等措施降低炉膛温度。当炉膛温度达到</w:t>
      </w:r>
      <w:r>
        <w:rPr>
          <w:rFonts w:hint="eastAsia"/>
        </w:rPr>
        <w:t>高联锁</w:t>
      </w:r>
      <w:r>
        <w:t>值时，关闭废气进口阀门，开启紧急放散阀门，启动</w:t>
      </w:r>
      <w:r>
        <w:rPr>
          <w:rFonts w:hint="eastAsia"/>
        </w:rPr>
        <w:t>RTO</w:t>
      </w:r>
      <w:r>
        <w:t>异常停车流程，直至故障排除，废气切换至应急旁路紧急放空；</w:t>
      </w:r>
    </w:p>
    <w:p>
      <w:pPr>
        <w:pStyle w:val="134"/>
      </w:pPr>
      <w:r>
        <w:t>设置炉膛温度</w:t>
      </w:r>
      <w:r>
        <w:rPr>
          <w:rFonts w:hint="eastAsia"/>
        </w:rPr>
        <w:t>低报警、</w:t>
      </w:r>
      <w:r>
        <w:t>联锁：当炉膛温度降至温度低报警值时，联锁启动燃气加热系统，保证炉膛内反应温度。当炉膛温度降至温度</w:t>
      </w:r>
      <w:r>
        <w:rPr>
          <w:rFonts w:hint="eastAsia"/>
        </w:rPr>
        <w:t>低联锁</w:t>
      </w:r>
      <w:r>
        <w:t>值时，关闭废气进口阀门，开启紧急放散阀门，启动</w:t>
      </w:r>
      <w:r>
        <w:rPr>
          <w:rFonts w:hint="eastAsia"/>
        </w:rPr>
        <w:t>RTO</w:t>
      </w:r>
      <w:r>
        <w:t>异常停车流程，废气切换至应急旁路紧急放空；</w:t>
      </w:r>
    </w:p>
    <w:p>
      <w:pPr>
        <w:pStyle w:val="134"/>
      </w:pPr>
      <w:r>
        <w:t>各</w:t>
      </w:r>
      <w:r>
        <w:rPr>
          <w:rFonts w:hint="eastAsia"/>
        </w:rPr>
        <w:t>焚烧</w:t>
      </w:r>
      <w:r>
        <w:t>室设置进、出口差压在线监测，当压差达到设定值时，系统发出声光报警，焚烧炉启动返烧流程；</w:t>
      </w:r>
    </w:p>
    <w:p>
      <w:pPr>
        <w:pStyle w:val="134"/>
      </w:pPr>
      <w:r>
        <w:t>燃烧器设置燃烧安全保护装置。该装置包括燃料输送管道紧急双切断阀，在燃烧器启动后点火不正常、助燃空气突然中断或炉膛无明火时，应能立即自动切断燃料供给。安全保护装置包括但不限于阻火器、燃烧监视装置和检测控制系统等一切保持燃烧器安全运行的设施。</w:t>
      </w:r>
    </w:p>
    <w:p>
      <w:pPr>
        <w:pStyle w:val="96"/>
        <w:spacing w:before="120" w:after="120"/>
        <w:rPr>
          <w:rFonts w:ascii="宋体" w:hAnsi="宋体" w:eastAsia="宋体"/>
        </w:rPr>
      </w:pPr>
      <w:r>
        <w:rPr>
          <w:rFonts w:ascii="宋体" w:hAnsi="宋体" w:eastAsia="宋体"/>
        </w:rPr>
        <w:t>RTO炉具有点火失败和熄火自动保护功能，具备吹扫功能。</w:t>
      </w:r>
    </w:p>
    <w:p>
      <w:pPr>
        <w:pStyle w:val="96"/>
        <w:spacing w:before="120" w:after="120"/>
        <w:rPr>
          <w:rFonts w:ascii="宋体" w:hAnsi="宋体" w:eastAsia="宋体"/>
        </w:rPr>
      </w:pPr>
      <w:r>
        <w:rPr>
          <w:rFonts w:ascii="宋体" w:hAnsi="宋体" w:eastAsia="宋体"/>
        </w:rPr>
        <w:t>RTO炉与废气接触的地方要考虑腐蚀性要求，材质选用不低于S30408。</w:t>
      </w:r>
    </w:p>
    <w:p>
      <w:pPr>
        <w:pStyle w:val="67"/>
        <w:spacing w:before="120" w:after="120"/>
      </w:pPr>
      <w:bookmarkStart w:id="123" w:name="_Toc152331865"/>
      <w:r>
        <w:t>负压总管</w:t>
      </w:r>
      <w:bookmarkEnd w:id="123"/>
    </w:p>
    <w:p>
      <w:pPr>
        <w:pStyle w:val="96"/>
        <w:spacing w:before="120" w:after="120"/>
        <w:rPr>
          <w:rFonts w:ascii="宋体" w:hAnsi="宋体" w:eastAsia="宋体"/>
        </w:rPr>
      </w:pPr>
      <w:r>
        <w:rPr>
          <w:rFonts w:ascii="宋体" w:hAnsi="宋体" w:eastAsia="宋体"/>
        </w:rPr>
        <w:t>敞口储罐收集废气在满足6.4.4的情况下，可进入荒煤气负压总管。</w:t>
      </w:r>
    </w:p>
    <w:p>
      <w:pPr>
        <w:pStyle w:val="96"/>
        <w:spacing w:before="120" w:after="120"/>
        <w:rPr>
          <w:rFonts w:ascii="宋体" w:hAnsi="宋体" w:eastAsia="宋体"/>
        </w:rPr>
      </w:pPr>
      <w:r>
        <w:rPr>
          <w:rFonts w:ascii="宋体" w:hAnsi="宋体" w:eastAsia="宋体"/>
        </w:rPr>
        <w:t>荒煤气总管氧含量分析仪应与废气切断阀、 紧急排放阀联锁。</w:t>
      </w:r>
    </w:p>
    <w:p>
      <w:pPr>
        <w:pStyle w:val="96"/>
        <w:spacing w:before="120" w:after="120"/>
        <w:rPr>
          <w:rFonts w:ascii="宋体" w:hAnsi="宋体" w:eastAsia="宋体"/>
        </w:rPr>
      </w:pPr>
      <w:r>
        <w:rPr>
          <w:rFonts w:ascii="宋体" w:hAnsi="宋体" w:eastAsia="宋体"/>
        </w:rPr>
        <w:t>紧急排放阀管线应设置阻火器。</w:t>
      </w:r>
    </w:p>
    <w:p>
      <w:pPr>
        <w:pStyle w:val="106"/>
        <w:spacing w:before="240" w:after="240"/>
      </w:pPr>
      <w:bookmarkStart w:id="124" w:name="_Toc152331866"/>
      <w:r>
        <w:t>自动控制</w:t>
      </w:r>
      <w:bookmarkEnd w:id="124"/>
    </w:p>
    <w:p>
      <w:pPr>
        <w:pStyle w:val="107"/>
        <w:spacing w:before="120" w:after="120"/>
        <w:rPr>
          <w:rFonts w:ascii="宋体" w:hAnsi="宋体" w:eastAsia="宋体"/>
        </w:rPr>
      </w:pPr>
      <w:bookmarkStart w:id="125" w:name="_Toc152331867"/>
      <w:r>
        <w:rPr>
          <w:rFonts w:hint="eastAsia" w:ascii="宋体" w:hAnsi="宋体" w:eastAsia="宋体"/>
        </w:rPr>
        <w:t>废气治理系统须满足联动运行的自动控制设计规定，废气治理系统可实现自动和现场人工手动操作。</w:t>
      </w:r>
      <w:bookmarkEnd w:id="125"/>
    </w:p>
    <w:p>
      <w:pPr>
        <w:pStyle w:val="107"/>
        <w:spacing w:before="120" w:after="120"/>
        <w:rPr>
          <w:rFonts w:ascii="宋体" w:hAnsi="宋体" w:eastAsia="宋体"/>
        </w:rPr>
      </w:pPr>
      <w:bookmarkStart w:id="126" w:name="_Toc152331868"/>
      <w:r>
        <w:rPr>
          <w:rFonts w:hint="eastAsia" w:ascii="宋体" w:hAnsi="宋体" w:eastAsia="宋体"/>
        </w:rPr>
        <w:t>设置一键紧急停车按钮，减少紧急状况操作失误，设置关键设备的故障手动复位按钮，防止误操作引起安全事故。</w:t>
      </w:r>
      <w:bookmarkEnd w:id="126"/>
    </w:p>
    <w:p>
      <w:pPr>
        <w:pStyle w:val="107"/>
        <w:spacing w:before="120" w:after="120"/>
        <w:rPr>
          <w:rFonts w:ascii="宋体" w:hAnsi="宋体" w:eastAsia="宋体"/>
        </w:rPr>
      </w:pPr>
      <w:bookmarkStart w:id="127" w:name="_Toc152331869"/>
      <w:r>
        <w:rPr>
          <w:rFonts w:hint="eastAsia" w:ascii="宋体" w:hAnsi="宋体" w:eastAsia="宋体"/>
        </w:rPr>
        <w:t>当废气治理系统设置安全仪表系统时，应独立设置，并应符合GB/T 50770的规定。</w:t>
      </w:r>
      <w:bookmarkEnd w:id="127"/>
    </w:p>
    <w:p>
      <w:pPr>
        <w:pStyle w:val="107"/>
        <w:spacing w:before="120" w:after="120"/>
        <w:rPr>
          <w:rFonts w:ascii="宋体" w:hAnsi="宋体" w:eastAsia="宋体"/>
        </w:rPr>
      </w:pPr>
      <w:bookmarkStart w:id="128" w:name="_Toc152331870"/>
      <w:r>
        <w:rPr>
          <w:rFonts w:hint="eastAsia" w:ascii="宋体" w:hAnsi="宋体" w:eastAsia="宋体"/>
        </w:rPr>
        <w:t>废气治理系统应独立设置可燃气体及有毒气体检测系统，并应符合GB/T 50493的规定。</w:t>
      </w:r>
      <w:bookmarkEnd w:id="128"/>
      <w:r>
        <w:rPr>
          <w:rFonts w:hint="eastAsia" w:ascii="宋体" w:hAnsi="宋体" w:eastAsia="宋体"/>
        </w:rPr>
        <w:t xml:space="preserve"> </w:t>
      </w:r>
    </w:p>
    <w:p>
      <w:pPr>
        <w:pStyle w:val="107"/>
        <w:spacing w:before="120" w:after="120"/>
        <w:rPr>
          <w:rFonts w:ascii="宋体" w:hAnsi="宋体" w:eastAsia="宋体"/>
        </w:rPr>
      </w:pPr>
      <w:bookmarkStart w:id="129" w:name="_Toc152331871"/>
      <w:r>
        <w:rPr>
          <w:rFonts w:hint="eastAsia" w:ascii="宋体" w:hAnsi="宋体" w:eastAsia="宋体"/>
        </w:rPr>
        <w:t>废气治理系统内设置的远传温度、压力、流量、液位、氧含量、LEL等参数，应远传到控制系统。</w:t>
      </w:r>
      <w:bookmarkEnd w:id="129"/>
    </w:p>
    <w:p>
      <w:pPr>
        <w:pStyle w:val="107"/>
        <w:spacing w:before="120" w:after="120"/>
        <w:rPr>
          <w:rFonts w:ascii="宋体" w:hAnsi="宋体" w:eastAsia="宋体"/>
        </w:rPr>
      </w:pPr>
      <w:bookmarkStart w:id="130" w:name="_Toc152331872"/>
      <w:r>
        <w:rPr>
          <w:rFonts w:hint="eastAsia" w:ascii="宋体" w:hAnsi="宋体" w:eastAsia="宋体"/>
        </w:rPr>
        <w:t>废气治理系统内的机泵、风机运行状态、控制阀门的状态，应在自动控制系统内显示。</w:t>
      </w:r>
      <w:bookmarkEnd w:id="130"/>
    </w:p>
    <w:p>
      <w:pPr>
        <w:pStyle w:val="107"/>
        <w:spacing w:before="120" w:after="120"/>
        <w:rPr>
          <w:rFonts w:ascii="宋体" w:hAnsi="宋体" w:eastAsia="宋体"/>
        </w:rPr>
      </w:pPr>
      <w:bookmarkStart w:id="131" w:name="_Toc152331873"/>
      <w:r>
        <w:rPr>
          <w:rFonts w:hint="eastAsia" w:ascii="宋体" w:hAnsi="宋体" w:eastAsia="宋体"/>
        </w:rPr>
        <w:t>现场电动仪表宜选用隔爆型仪表；防爆等级应符合GB 50058的规定。</w:t>
      </w:r>
      <w:bookmarkEnd w:id="131"/>
    </w:p>
    <w:p>
      <w:pPr>
        <w:pStyle w:val="107"/>
        <w:spacing w:before="120" w:after="120"/>
        <w:rPr>
          <w:rFonts w:ascii="宋体" w:hAnsi="宋体" w:eastAsia="宋体"/>
        </w:rPr>
      </w:pPr>
      <w:bookmarkStart w:id="132" w:name="_Toc152331874"/>
      <w:r>
        <w:rPr>
          <w:rFonts w:hint="eastAsia" w:ascii="宋体" w:hAnsi="宋体" w:eastAsia="宋体"/>
        </w:rPr>
        <w:t>废气治理系统内的仪表设计选型应符合SH/T 3005的规定。</w:t>
      </w:r>
      <w:bookmarkEnd w:id="132"/>
    </w:p>
    <w:p>
      <w:pPr>
        <w:pStyle w:val="107"/>
        <w:spacing w:before="120" w:after="120"/>
        <w:rPr>
          <w:rFonts w:ascii="宋体" w:hAnsi="宋体" w:eastAsia="宋体"/>
        </w:rPr>
      </w:pPr>
      <w:bookmarkStart w:id="133" w:name="_Toc152331875"/>
      <w:r>
        <w:rPr>
          <w:rFonts w:hint="eastAsia" w:ascii="宋体" w:hAnsi="宋体" w:eastAsia="宋体"/>
        </w:rPr>
        <w:t>仪表取样点的设计应满足防堵要求。</w:t>
      </w:r>
      <w:bookmarkEnd w:id="133"/>
    </w:p>
    <w:p>
      <w:pPr>
        <w:pStyle w:val="106"/>
        <w:spacing w:before="240" w:after="240"/>
      </w:pPr>
      <w:bookmarkStart w:id="134" w:name="_Toc152331876"/>
      <w:r>
        <w:rPr>
          <w:rFonts w:hint="eastAsia"/>
        </w:rPr>
        <w:t>电气</w:t>
      </w:r>
      <w:bookmarkEnd w:id="134"/>
    </w:p>
    <w:p>
      <w:pPr>
        <w:pStyle w:val="107"/>
        <w:spacing w:before="120" w:after="120"/>
        <w:rPr>
          <w:rFonts w:ascii="宋体" w:hAnsi="宋体" w:eastAsia="宋体"/>
        </w:rPr>
      </w:pPr>
      <w:bookmarkStart w:id="135" w:name="_Toc152331877"/>
      <w:r>
        <w:rPr>
          <w:rFonts w:hint="eastAsia" w:ascii="宋体" w:hAnsi="宋体" w:eastAsia="宋体"/>
        </w:rPr>
        <w:t>废气治理系统的用电负荷等级应满足工艺设计要求。</w:t>
      </w:r>
      <w:bookmarkEnd w:id="135"/>
    </w:p>
    <w:p>
      <w:pPr>
        <w:pStyle w:val="107"/>
        <w:spacing w:before="120" w:after="120"/>
        <w:rPr>
          <w:rFonts w:ascii="宋体" w:hAnsi="宋体" w:eastAsia="宋体"/>
          <w:bCs/>
        </w:rPr>
      </w:pPr>
      <w:bookmarkStart w:id="136" w:name="_Toc152331878"/>
      <w:r>
        <w:rPr>
          <w:rFonts w:hint="eastAsia" w:ascii="宋体" w:hAnsi="宋体" w:eastAsia="宋体"/>
        </w:rPr>
        <w:t>废气治理系统的收集、废气输送、废气预处理和RTO区域爆炸危险区域划分应执行GB 50058的规定。</w:t>
      </w:r>
      <w:bookmarkEnd w:id="136"/>
    </w:p>
    <w:p>
      <w:pPr>
        <w:pStyle w:val="107"/>
        <w:spacing w:before="120" w:after="120"/>
        <w:rPr>
          <w:rFonts w:ascii="宋体" w:hAnsi="宋体" w:eastAsia="宋体"/>
          <w:bCs/>
        </w:rPr>
      </w:pPr>
      <w:bookmarkStart w:id="137" w:name="_Toc152331879"/>
      <w:r>
        <w:rPr>
          <w:rFonts w:hint="eastAsia" w:ascii="宋体" w:hAnsi="宋体" w:eastAsia="宋体"/>
          <w:bCs/>
        </w:rPr>
        <w:t>废气治理系统的防雷设计应符合 GB 50057的规定。</w:t>
      </w:r>
      <w:bookmarkEnd w:id="137"/>
    </w:p>
    <w:p>
      <w:pPr>
        <w:pStyle w:val="107"/>
        <w:spacing w:before="120" w:after="120"/>
        <w:rPr>
          <w:rFonts w:ascii="宋体" w:hAnsi="宋体" w:eastAsia="宋体"/>
        </w:rPr>
      </w:pPr>
      <w:bookmarkStart w:id="138" w:name="_Toc152331880"/>
      <w:r>
        <w:rPr>
          <w:rFonts w:hint="eastAsia" w:ascii="宋体" w:hAnsi="宋体" w:eastAsia="宋体"/>
        </w:rPr>
        <w:t>废气治理系统的防静电接地设计应符合SH/T 3097的规定。</w:t>
      </w:r>
      <w:bookmarkEnd w:id="138"/>
    </w:p>
    <w:p>
      <w:pPr>
        <w:pStyle w:val="107"/>
        <w:spacing w:before="120" w:after="120"/>
        <w:rPr>
          <w:rFonts w:ascii="宋体" w:hAnsi="宋体" w:eastAsia="宋体"/>
          <w:color w:val="000000"/>
          <w:sz w:val="28"/>
          <w:szCs w:val="28"/>
        </w:rPr>
      </w:pPr>
      <w:bookmarkStart w:id="139" w:name="_Toc152331881"/>
      <w:r>
        <w:rPr>
          <w:rFonts w:hint="eastAsia" w:ascii="宋体" w:hAnsi="宋体" w:eastAsia="宋体"/>
        </w:rPr>
        <w:t>废气预处理和RTO炉及附属设施的照度水平应符合GB 50034的规定。</w:t>
      </w:r>
      <w:bookmarkEnd w:id="139"/>
    </w:p>
    <w:p>
      <w:pPr>
        <w:pStyle w:val="106"/>
        <w:spacing w:before="240" w:after="240"/>
      </w:pPr>
      <w:bookmarkStart w:id="140" w:name="_Toc152331882"/>
      <w:r>
        <w:rPr>
          <w:rFonts w:hint="eastAsia"/>
        </w:rPr>
        <w:t>消防、给排水</w:t>
      </w:r>
      <w:bookmarkEnd w:id="140"/>
    </w:p>
    <w:p>
      <w:pPr>
        <w:pStyle w:val="107"/>
        <w:spacing w:before="120" w:after="120"/>
        <w:rPr>
          <w:rFonts w:ascii="宋体" w:hAnsi="宋体" w:eastAsia="宋体"/>
        </w:rPr>
      </w:pPr>
      <w:bookmarkStart w:id="141" w:name="_Toc152331883"/>
      <w:r>
        <w:rPr>
          <w:rFonts w:hint="eastAsia" w:ascii="宋体" w:hAnsi="宋体" w:eastAsia="宋体"/>
        </w:rPr>
        <w:t>废气治理系统的消防系统应与其他相邻设施的消防系统统一设置。</w:t>
      </w:r>
      <w:bookmarkEnd w:id="141"/>
    </w:p>
    <w:p>
      <w:pPr>
        <w:pStyle w:val="107"/>
        <w:spacing w:before="120" w:after="120"/>
        <w:rPr>
          <w:rFonts w:ascii="宋体" w:hAnsi="宋体" w:eastAsia="宋体"/>
        </w:rPr>
      </w:pPr>
      <w:bookmarkStart w:id="142" w:name="_Toc152331884"/>
      <w:r>
        <w:rPr>
          <w:rFonts w:hint="eastAsia" w:ascii="宋体" w:hAnsi="宋体" w:eastAsia="宋体"/>
        </w:rPr>
        <w:t>对改造实施的废气治理系统的消防，应根据其在煤气净化装置的总图位置和既有消防设施综合评估设计，并满足消防设计相关规定。</w:t>
      </w:r>
      <w:bookmarkEnd w:id="142"/>
    </w:p>
    <w:p>
      <w:pPr>
        <w:pStyle w:val="107"/>
        <w:spacing w:before="120" w:after="120"/>
        <w:rPr>
          <w:rFonts w:ascii="宋体" w:hAnsi="宋体" w:eastAsia="宋体"/>
        </w:rPr>
      </w:pPr>
      <w:bookmarkStart w:id="143" w:name="_Toc152331885"/>
      <w:r>
        <w:rPr>
          <w:rFonts w:hint="eastAsia" w:ascii="宋体" w:hAnsi="宋体" w:eastAsia="宋体"/>
        </w:rPr>
        <w:t>废气预处理和RTO设施应设置干粉型灭火器，灭火器的设置应符合下列要求：</w:t>
      </w:r>
      <w:bookmarkEnd w:id="143"/>
    </w:p>
    <w:p>
      <w:pPr>
        <w:pStyle w:val="134"/>
        <w:rPr>
          <w:rFonts w:hAnsi="宋体"/>
        </w:rPr>
      </w:pPr>
      <w:r>
        <w:rPr>
          <w:rFonts w:hint="eastAsia" w:hAnsi="宋体"/>
        </w:rPr>
        <w:t>手提式灭火器的最大保护距离不宜超过9m；</w:t>
      </w:r>
    </w:p>
    <w:p>
      <w:pPr>
        <w:pStyle w:val="134"/>
        <w:rPr>
          <w:rFonts w:hAnsi="宋体"/>
        </w:rPr>
      </w:pPr>
      <w:r>
        <w:rPr>
          <w:rFonts w:hint="eastAsia" w:hAnsi="宋体"/>
        </w:rPr>
        <w:t>每个配置点的手提式灭火器数量不应少于2具，每具灭火器的灭火剂充装量不宜小于4kg。</w:t>
      </w:r>
    </w:p>
    <w:p>
      <w:pPr>
        <w:pStyle w:val="107"/>
        <w:spacing w:before="120" w:after="120"/>
        <w:rPr>
          <w:rFonts w:ascii="宋体" w:hAnsi="宋体" w:eastAsia="宋体"/>
          <w:b/>
          <w:bCs/>
        </w:rPr>
      </w:pPr>
      <w:bookmarkStart w:id="144" w:name="_Toc152331886"/>
      <w:r>
        <w:rPr>
          <w:rFonts w:hint="eastAsia" w:ascii="宋体" w:hAnsi="宋体" w:eastAsia="宋体"/>
        </w:rPr>
        <w:t>预处理区应设置废液收集和输送设施。</w:t>
      </w:r>
      <w:bookmarkEnd w:id="144"/>
    </w:p>
    <w:p>
      <w:pPr>
        <w:pStyle w:val="106"/>
        <w:spacing w:before="240" w:after="240"/>
      </w:pPr>
      <w:bookmarkStart w:id="145" w:name="_Toc152331887"/>
      <w:r>
        <w:rPr>
          <w:rFonts w:hint="eastAsia"/>
        </w:rPr>
        <w:t>安全、职业卫生与环境保护</w:t>
      </w:r>
      <w:bookmarkEnd w:id="145"/>
    </w:p>
    <w:p>
      <w:pPr>
        <w:pStyle w:val="107"/>
        <w:spacing w:before="120" w:after="120"/>
        <w:rPr>
          <w:rFonts w:ascii="宋体" w:hAnsi="宋体" w:eastAsia="宋体"/>
        </w:rPr>
      </w:pPr>
      <w:bookmarkStart w:id="146" w:name="_Toc152331888"/>
      <w:r>
        <w:rPr>
          <w:rFonts w:ascii="宋体" w:hAnsi="宋体" w:eastAsia="宋体"/>
        </w:rPr>
        <w:t>废气治理系统的收集、输送、预处理和焚烧或进负压总管</w:t>
      </w:r>
      <w:r>
        <w:rPr>
          <w:rFonts w:hint="eastAsia" w:ascii="宋体" w:hAnsi="宋体" w:eastAsia="宋体"/>
        </w:rPr>
        <w:t>全过程，</w:t>
      </w:r>
      <w:r>
        <w:rPr>
          <w:rFonts w:ascii="宋体" w:hAnsi="宋体" w:eastAsia="宋体"/>
        </w:rPr>
        <w:t>应满足消除机械火花、静电火花要求，并设置阻火器隔断火焰传递。</w:t>
      </w:r>
      <w:bookmarkEnd w:id="146"/>
    </w:p>
    <w:p>
      <w:pPr>
        <w:pStyle w:val="107"/>
        <w:spacing w:before="120" w:after="120"/>
        <w:rPr>
          <w:rFonts w:ascii="宋体" w:hAnsi="宋体" w:eastAsia="宋体"/>
        </w:rPr>
      </w:pPr>
      <w:bookmarkStart w:id="147" w:name="_Toc152331889"/>
      <w:r>
        <w:rPr>
          <w:rFonts w:ascii="宋体" w:hAnsi="宋体" w:eastAsia="宋体"/>
        </w:rPr>
        <w:t>RTO进口的可燃气体浓度</w:t>
      </w:r>
      <w:r>
        <w:rPr>
          <w:rFonts w:hint="eastAsia" w:ascii="宋体" w:hAnsi="宋体" w:eastAsia="宋体"/>
        </w:rPr>
        <w:t>应低于</w:t>
      </w:r>
      <w:r>
        <w:rPr>
          <w:rFonts w:ascii="宋体" w:hAnsi="宋体" w:eastAsia="宋体"/>
        </w:rPr>
        <w:t>爆炸下限的25%，</w:t>
      </w:r>
      <w:r>
        <w:rPr>
          <w:rFonts w:hint="eastAsia" w:ascii="宋体" w:hAnsi="宋体" w:eastAsia="宋体"/>
        </w:rPr>
        <w:t>且其燃烧温升控制在</w:t>
      </w:r>
      <w:r>
        <w:rPr>
          <w:rFonts w:ascii="宋体" w:hAnsi="宋体" w:eastAsia="宋体"/>
        </w:rPr>
        <w:t>RTO</w:t>
      </w:r>
      <w:r>
        <w:rPr>
          <w:rFonts w:hint="eastAsia" w:ascii="宋体" w:hAnsi="宋体" w:eastAsia="宋体"/>
        </w:rPr>
        <w:t>正常运行</w:t>
      </w:r>
      <w:r>
        <w:rPr>
          <w:rFonts w:ascii="宋体" w:hAnsi="宋体" w:eastAsia="宋体"/>
        </w:rPr>
        <w:t>范围</w:t>
      </w:r>
      <w:r>
        <w:rPr>
          <w:rFonts w:hint="eastAsia" w:ascii="宋体" w:hAnsi="宋体" w:eastAsia="宋体"/>
        </w:rPr>
        <w:t>内</w:t>
      </w:r>
      <w:r>
        <w:rPr>
          <w:rFonts w:ascii="宋体" w:hAnsi="宋体" w:eastAsia="宋体"/>
        </w:rPr>
        <w:t>。</w:t>
      </w:r>
      <w:bookmarkEnd w:id="147"/>
    </w:p>
    <w:p>
      <w:pPr>
        <w:pStyle w:val="107"/>
        <w:spacing w:before="120" w:after="120"/>
        <w:rPr>
          <w:rFonts w:ascii="宋体" w:hAnsi="宋体" w:eastAsia="宋体"/>
        </w:rPr>
      </w:pPr>
      <w:bookmarkStart w:id="148" w:name="_Toc152331890"/>
      <w:r>
        <w:rPr>
          <w:rFonts w:ascii="宋体" w:hAnsi="宋体" w:eastAsia="宋体"/>
        </w:rPr>
        <w:t>可燃气体和有毒气体检测报警器的设置应符合GB/T</w:t>
      </w:r>
      <w:r>
        <w:rPr>
          <w:rFonts w:hint="eastAsia" w:ascii="宋体" w:hAnsi="宋体" w:eastAsia="宋体"/>
        </w:rPr>
        <w:t xml:space="preserve"> </w:t>
      </w:r>
      <w:r>
        <w:rPr>
          <w:rFonts w:ascii="宋体" w:hAnsi="宋体" w:eastAsia="宋体"/>
        </w:rPr>
        <w:t>50493的规定，尤其要监控一氧化碳、硫化氢的浓度。</w:t>
      </w:r>
      <w:bookmarkEnd w:id="148"/>
    </w:p>
    <w:p>
      <w:pPr>
        <w:pStyle w:val="107"/>
        <w:spacing w:before="120" w:after="120"/>
        <w:rPr>
          <w:rFonts w:ascii="宋体" w:hAnsi="宋体" w:eastAsia="宋体"/>
        </w:rPr>
      </w:pPr>
      <w:bookmarkStart w:id="149" w:name="_Toc152331891"/>
      <w:r>
        <w:rPr>
          <w:rFonts w:ascii="宋体" w:hAnsi="宋体" w:eastAsia="宋体"/>
        </w:rPr>
        <w:t>废气治理系统的作业人员应配备个人劳动保护用品。个人劳动保护用品应符合GB</w:t>
      </w:r>
      <w:r>
        <w:rPr>
          <w:rFonts w:hint="eastAsia" w:ascii="宋体" w:hAnsi="宋体" w:eastAsia="宋体"/>
        </w:rPr>
        <w:t xml:space="preserve"> </w:t>
      </w:r>
      <w:r>
        <w:rPr>
          <w:rFonts w:ascii="宋体" w:hAnsi="宋体" w:eastAsia="宋体"/>
        </w:rPr>
        <w:t>39800.3的规定。</w:t>
      </w:r>
      <w:bookmarkEnd w:id="149"/>
    </w:p>
    <w:p>
      <w:pPr>
        <w:pStyle w:val="107"/>
        <w:spacing w:before="120" w:after="120"/>
        <w:rPr>
          <w:rFonts w:ascii="宋体" w:hAnsi="宋体" w:eastAsia="宋体"/>
        </w:rPr>
      </w:pPr>
      <w:bookmarkStart w:id="150" w:name="_Toc152331892"/>
      <w:r>
        <w:rPr>
          <w:rFonts w:ascii="宋体" w:hAnsi="宋体" w:eastAsia="宋体"/>
        </w:rPr>
        <w:t>废气治理系统职业卫生的设计应符合GBZ</w:t>
      </w:r>
      <w:r>
        <w:rPr>
          <w:rFonts w:hint="eastAsia" w:ascii="宋体" w:hAnsi="宋体" w:eastAsia="宋体"/>
        </w:rPr>
        <w:t xml:space="preserve"> </w:t>
      </w:r>
      <w:r>
        <w:rPr>
          <w:rFonts w:ascii="宋体" w:hAnsi="宋体" w:eastAsia="宋体"/>
        </w:rPr>
        <w:t>1的规定。</w:t>
      </w:r>
      <w:bookmarkEnd w:id="150"/>
    </w:p>
    <w:p>
      <w:pPr>
        <w:pStyle w:val="107"/>
        <w:spacing w:before="120" w:after="120"/>
        <w:rPr>
          <w:rFonts w:ascii="宋体" w:hAnsi="宋体" w:eastAsia="宋体"/>
        </w:rPr>
      </w:pPr>
      <w:bookmarkStart w:id="151" w:name="_Toc152331893"/>
      <w:r>
        <w:rPr>
          <w:rFonts w:ascii="宋体" w:hAnsi="宋体" w:eastAsia="宋体"/>
        </w:rPr>
        <w:t>废气治理系统噪声的设计应符合GB/T</w:t>
      </w:r>
      <w:r>
        <w:rPr>
          <w:rFonts w:hint="eastAsia" w:ascii="宋体" w:hAnsi="宋体" w:eastAsia="宋体"/>
        </w:rPr>
        <w:t xml:space="preserve"> </w:t>
      </w:r>
      <w:r>
        <w:rPr>
          <w:rFonts w:ascii="宋体" w:hAnsi="宋体" w:eastAsia="宋体"/>
        </w:rPr>
        <w:t>50087的规定。</w:t>
      </w:r>
      <w:bookmarkEnd w:id="151"/>
    </w:p>
    <w:p>
      <w:pPr>
        <w:pStyle w:val="107"/>
        <w:spacing w:before="120" w:after="120"/>
        <w:rPr>
          <w:rFonts w:ascii="宋体" w:hAnsi="宋体" w:eastAsia="宋体"/>
        </w:rPr>
      </w:pPr>
      <w:bookmarkStart w:id="152" w:name="_Toc152331894"/>
      <w:r>
        <w:rPr>
          <w:rFonts w:ascii="宋体" w:hAnsi="宋体" w:eastAsia="宋体"/>
        </w:rPr>
        <w:t>废气治理系统的环境保护设计应</w:t>
      </w:r>
      <w:r>
        <w:rPr>
          <w:rFonts w:hint="eastAsia" w:ascii="宋体" w:hAnsi="宋体" w:eastAsia="宋体"/>
        </w:rPr>
        <w:t>符合GB/T 50483</w:t>
      </w:r>
      <w:r>
        <w:rPr>
          <w:rFonts w:ascii="宋体" w:hAnsi="宋体" w:eastAsia="宋体"/>
        </w:rPr>
        <w:t>的</w:t>
      </w:r>
      <w:r>
        <w:rPr>
          <w:rFonts w:hint="eastAsia" w:ascii="宋体" w:hAnsi="宋体" w:eastAsia="宋体"/>
        </w:rPr>
        <w:t>规定</w:t>
      </w:r>
      <w:r>
        <w:rPr>
          <w:rFonts w:ascii="宋体" w:hAnsi="宋体" w:eastAsia="宋体"/>
        </w:rPr>
        <w:t>。</w:t>
      </w:r>
      <w:bookmarkEnd w:id="152"/>
    </w:p>
    <w:p>
      <w:pPr>
        <w:pStyle w:val="107"/>
        <w:spacing w:before="120" w:after="120"/>
        <w:rPr>
          <w:rFonts w:ascii="宋体" w:hAnsi="宋体" w:eastAsia="宋体"/>
        </w:rPr>
      </w:pPr>
      <w:bookmarkStart w:id="153" w:name="_Toc152331895"/>
      <w:r>
        <w:rPr>
          <w:rFonts w:ascii="宋体" w:hAnsi="宋体" w:eastAsia="宋体"/>
        </w:rPr>
        <w:t>废气治理系统尾气排放的大气污染物排放限值应</w:t>
      </w:r>
      <w:r>
        <w:rPr>
          <w:rFonts w:hint="eastAsia" w:ascii="宋体" w:hAnsi="宋体" w:eastAsia="宋体"/>
        </w:rPr>
        <w:t>符合</w:t>
      </w:r>
      <w:r>
        <w:rPr>
          <w:rFonts w:ascii="宋体" w:hAnsi="宋体" w:eastAsia="宋体"/>
        </w:rPr>
        <w:t>GB</w:t>
      </w:r>
      <w:r>
        <w:rPr>
          <w:rFonts w:hint="eastAsia" w:ascii="宋体" w:hAnsi="宋体" w:eastAsia="宋体"/>
        </w:rPr>
        <w:t xml:space="preserve"> </w:t>
      </w:r>
      <w:r>
        <w:rPr>
          <w:rFonts w:ascii="宋体" w:hAnsi="宋体" w:eastAsia="宋体"/>
        </w:rPr>
        <w:t>1617</w:t>
      </w:r>
      <w:r>
        <w:rPr>
          <w:rFonts w:hint="eastAsia" w:ascii="宋体" w:hAnsi="宋体" w:eastAsia="宋体"/>
        </w:rPr>
        <w:t>1的规定</w:t>
      </w:r>
      <w:r>
        <w:rPr>
          <w:rFonts w:ascii="宋体" w:hAnsi="宋体" w:eastAsia="宋体"/>
        </w:rPr>
        <w:t>。</w:t>
      </w:r>
      <w:bookmarkEnd w:id="153"/>
    </w:p>
    <w:p>
      <w:pPr>
        <w:pStyle w:val="107"/>
        <w:spacing w:before="120" w:after="120"/>
        <w:rPr>
          <w:rFonts w:ascii="宋体" w:hAnsi="宋体" w:eastAsia="宋体"/>
        </w:rPr>
      </w:pPr>
      <w:bookmarkStart w:id="154" w:name="_Toc152331896"/>
      <w:r>
        <w:rPr>
          <w:rFonts w:ascii="宋体" w:hAnsi="宋体" w:eastAsia="宋体"/>
        </w:rPr>
        <w:t>废气治理系统恶臭</w:t>
      </w:r>
      <w:r>
        <w:rPr>
          <w:rFonts w:hint="eastAsia" w:ascii="宋体" w:hAnsi="宋体" w:eastAsia="宋体"/>
        </w:rPr>
        <w:t>因子的排放限值</w:t>
      </w:r>
      <w:r>
        <w:rPr>
          <w:rFonts w:ascii="宋体" w:hAnsi="宋体" w:eastAsia="宋体"/>
        </w:rPr>
        <w:t>应</w:t>
      </w:r>
      <w:r>
        <w:rPr>
          <w:rFonts w:hint="eastAsia" w:ascii="宋体" w:hAnsi="宋体" w:eastAsia="宋体"/>
        </w:rPr>
        <w:t>符合</w:t>
      </w:r>
      <w:r>
        <w:rPr>
          <w:rFonts w:ascii="宋体" w:hAnsi="宋体" w:eastAsia="宋体"/>
        </w:rPr>
        <w:t>GB</w:t>
      </w:r>
      <w:r>
        <w:rPr>
          <w:rFonts w:hint="eastAsia" w:ascii="宋体" w:hAnsi="宋体" w:eastAsia="宋体"/>
        </w:rPr>
        <w:t xml:space="preserve"> </w:t>
      </w:r>
      <w:r>
        <w:rPr>
          <w:rFonts w:ascii="宋体" w:hAnsi="宋体" w:eastAsia="宋体"/>
        </w:rPr>
        <w:t>14554的规定。</w:t>
      </w:r>
      <w:bookmarkEnd w:id="154"/>
    </w:p>
    <w:p>
      <w:pPr>
        <w:pStyle w:val="58"/>
        <w:ind w:firstLine="0" w:firstLineChars="0"/>
      </w:pPr>
    </w:p>
    <w:bookmarkEnd w:id="18"/>
    <w:p>
      <w:pPr>
        <w:pStyle w:val="58"/>
        <w:ind w:firstLine="0" w:firstLineChars="0"/>
        <w:sectPr>
          <w:pgSz w:w="11906" w:h="16838"/>
          <w:pgMar w:top="1928" w:right="1134" w:bottom="1134" w:left="1134" w:header="1418" w:footer="1134" w:gutter="284"/>
          <w:pgNumType w:start="1"/>
          <w:cols w:space="425" w:num="1"/>
          <w:formProt w:val="0"/>
          <w:docGrid w:linePitch="312" w:charSpace="0"/>
        </w:sectPr>
      </w:pPr>
      <w:bookmarkStart w:id="155" w:name="BookMark6"/>
    </w:p>
    <w:p>
      <w:pPr>
        <w:pStyle w:val="65"/>
        <w:spacing w:after="120"/>
      </w:pPr>
      <w:bookmarkStart w:id="156" w:name="_Toc152331897"/>
      <w:r>
        <w:rPr>
          <w:rFonts w:hint="eastAsia"/>
          <w:spacing w:val="105"/>
        </w:rPr>
        <w:t>参考文</w:t>
      </w:r>
      <w:r>
        <w:rPr>
          <w:rFonts w:hint="eastAsia"/>
        </w:rPr>
        <w:t>献</w:t>
      </w:r>
      <w:bookmarkEnd w:id="156"/>
    </w:p>
    <w:p>
      <w:pPr>
        <w:pStyle w:val="232"/>
        <w:widowControl/>
        <w:spacing w:line="336" w:lineRule="auto"/>
        <w:ind w:firstLine="420" w:firstLineChars="200"/>
        <w:jc w:val="left"/>
        <w:rPr>
          <w:rFonts w:ascii="宋体" w:hAnsi="宋体"/>
          <w:color w:val="000000"/>
          <w:kern w:val="0"/>
        </w:rPr>
      </w:pPr>
      <w:r>
        <w:rPr>
          <w:rFonts w:hint="eastAsia" w:ascii="宋体" w:hAnsi="宋体"/>
        </w:rPr>
        <w:t xml:space="preserve">[1]  </w:t>
      </w:r>
      <w:r>
        <w:rPr>
          <w:rFonts w:ascii="宋体" w:hAnsi="宋体"/>
          <w:color w:val="000000"/>
          <w:kern w:val="0"/>
        </w:rPr>
        <w:t>石油化工储运罐区VOCs治理项目油气连通工艺实施方案及安全措施指导意见〔中国石化炼发函（2016）127号〕</w:t>
      </w:r>
    </w:p>
    <w:p>
      <w:pPr>
        <w:widowControl/>
        <w:spacing w:line="336" w:lineRule="auto"/>
        <w:ind w:firstLine="420" w:firstLineChars="200"/>
        <w:jc w:val="left"/>
        <w:rPr>
          <w:rFonts w:ascii="宋体" w:hAnsi="宋体"/>
          <w:color w:val="000000"/>
          <w:kern w:val="0"/>
        </w:rPr>
      </w:pPr>
      <w:r>
        <w:rPr>
          <w:rFonts w:hint="eastAsia" w:ascii="宋体" w:hAnsi="宋体"/>
        </w:rPr>
        <w:t xml:space="preserve">[2]  </w:t>
      </w:r>
      <w:r>
        <w:rPr>
          <w:rFonts w:ascii="宋体" w:hAnsi="宋体"/>
          <w:color w:val="000000"/>
          <w:kern w:val="0"/>
        </w:rPr>
        <w:t>石油化工企业储运罐区罐顶油气连通安全技术要求（试行）〔中国石化安技（2018）33 号〕</w:t>
      </w:r>
    </w:p>
    <w:p>
      <w:pPr>
        <w:widowControl/>
        <w:spacing w:line="336" w:lineRule="auto"/>
        <w:ind w:firstLine="420" w:firstLineChars="200"/>
        <w:jc w:val="left"/>
        <w:rPr>
          <w:rFonts w:ascii="宋体" w:hAnsi="宋体"/>
          <w:color w:val="000000"/>
          <w:kern w:val="0"/>
        </w:rPr>
      </w:pPr>
      <w:r>
        <w:rPr>
          <w:rFonts w:hint="eastAsia" w:ascii="宋体" w:hAnsi="宋体"/>
        </w:rPr>
        <w:t xml:space="preserve">[3] </w:t>
      </w:r>
      <w:r>
        <w:rPr>
          <w:rFonts w:hint="eastAsia"/>
        </w:rPr>
        <w:t xml:space="preserve"> </w:t>
      </w:r>
      <w:r>
        <w:rPr>
          <w:rFonts w:ascii="宋体" w:hAnsi="宋体"/>
          <w:color w:val="000000"/>
          <w:kern w:val="0"/>
        </w:rPr>
        <w:t>炼化企业常压储罐VOCs治理安全管理补充要求（试行）〔中国石化炼安（2020）528号〕</w:t>
      </w:r>
    </w:p>
    <w:bookmarkEnd w:id="155"/>
    <w:p>
      <w:pPr>
        <w:pStyle w:val="58"/>
        <w:ind w:firstLine="0" w:firstLineChars="0"/>
        <w:jc w:val="center"/>
      </w:pPr>
      <w:bookmarkStart w:id="157" w:name="BookMark8"/>
      <w:r>
        <w:drawing>
          <wp:inline distT="0" distB="0" distL="0" distR="0">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5"/>
                    <a:stretch>
                      <a:fillRect/>
                    </a:stretch>
                  </pic:blipFill>
                  <pic:spPr>
                    <a:xfrm>
                      <a:off x="0" y="0"/>
                      <a:ext cx="1485900" cy="317500"/>
                    </a:xfrm>
                    <a:prstGeom prst="rect">
                      <a:avLst/>
                    </a:prstGeom>
                  </pic:spPr>
                </pic:pic>
              </a:graphicData>
            </a:graphic>
          </wp:inline>
        </w:drawing>
      </w:r>
      <w:bookmarkEnd w:id="157"/>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T/NEEPA XXXX—2023</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T/NEEPA XXXX—2023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lang w:val="en-US"/>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96"/>
      <w:suff w:val="nothing"/>
      <w:lvlText w:val="%1%2.%3.%4.%5　"/>
      <w:lvlJc w:val="left"/>
      <w:pPr>
        <w:ind w:left="567"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kMmQyYTYzZDAxZjkzYjllNmU3YWQ3OTQ4YTU4M2IifQ=="/>
  </w:docVars>
  <w:rsids>
    <w:rsidRoot w:val="00834873"/>
    <w:rsid w:val="0000040A"/>
    <w:rsid w:val="00000A94"/>
    <w:rsid w:val="00001972"/>
    <w:rsid w:val="00001D9A"/>
    <w:rsid w:val="00007B3A"/>
    <w:rsid w:val="000107E0"/>
    <w:rsid w:val="00011FDE"/>
    <w:rsid w:val="00012FFD"/>
    <w:rsid w:val="00014162"/>
    <w:rsid w:val="00014340"/>
    <w:rsid w:val="000156A3"/>
    <w:rsid w:val="000167B8"/>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48D0"/>
    <w:rsid w:val="000556ED"/>
    <w:rsid w:val="00055FE2"/>
    <w:rsid w:val="0005616F"/>
    <w:rsid w:val="00057880"/>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B74FD"/>
    <w:rsid w:val="000C0F6C"/>
    <w:rsid w:val="000C11DB"/>
    <w:rsid w:val="000C1492"/>
    <w:rsid w:val="000C2FBD"/>
    <w:rsid w:val="000C4B41"/>
    <w:rsid w:val="000C57D6"/>
    <w:rsid w:val="000C6362"/>
    <w:rsid w:val="000C7666"/>
    <w:rsid w:val="000C7ECF"/>
    <w:rsid w:val="000D0A9C"/>
    <w:rsid w:val="000D1795"/>
    <w:rsid w:val="000D329A"/>
    <w:rsid w:val="000D4B9C"/>
    <w:rsid w:val="000D4EB6"/>
    <w:rsid w:val="000D753B"/>
    <w:rsid w:val="000E4C9E"/>
    <w:rsid w:val="000E6FD7"/>
    <w:rsid w:val="000E7144"/>
    <w:rsid w:val="000F06E1"/>
    <w:rsid w:val="000F0E3C"/>
    <w:rsid w:val="000F19D5"/>
    <w:rsid w:val="000F3CCF"/>
    <w:rsid w:val="000F4050"/>
    <w:rsid w:val="000F4AEA"/>
    <w:rsid w:val="000F67E9"/>
    <w:rsid w:val="001035E0"/>
    <w:rsid w:val="00104641"/>
    <w:rsid w:val="00104926"/>
    <w:rsid w:val="00113B1E"/>
    <w:rsid w:val="0011598B"/>
    <w:rsid w:val="0011711C"/>
    <w:rsid w:val="00124B6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9A2"/>
    <w:rsid w:val="00195C34"/>
    <w:rsid w:val="00196EF5"/>
    <w:rsid w:val="001A1A53"/>
    <w:rsid w:val="001A234A"/>
    <w:rsid w:val="001A4CF3"/>
    <w:rsid w:val="001A6696"/>
    <w:rsid w:val="001B00B4"/>
    <w:rsid w:val="001B06E8"/>
    <w:rsid w:val="001B31DF"/>
    <w:rsid w:val="001B6F68"/>
    <w:rsid w:val="001B71D0"/>
    <w:rsid w:val="001B71EE"/>
    <w:rsid w:val="001C04A8"/>
    <w:rsid w:val="001C2C03"/>
    <w:rsid w:val="001C31E6"/>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2906"/>
    <w:rsid w:val="001F4816"/>
    <w:rsid w:val="001F69B4"/>
    <w:rsid w:val="001F77C7"/>
    <w:rsid w:val="00200183"/>
    <w:rsid w:val="00200333"/>
    <w:rsid w:val="002005BE"/>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2A95"/>
    <w:rsid w:val="00243540"/>
    <w:rsid w:val="0024497B"/>
    <w:rsid w:val="0024515B"/>
    <w:rsid w:val="00246021"/>
    <w:rsid w:val="0024666E"/>
    <w:rsid w:val="00247F52"/>
    <w:rsid w:val="00250B25"/>
    <w:rsid w:val="00250BBE"/>
    <w:rsid w:val="00250EC1"/>
    <w:rsid w:val="002515C2"/>
    <w:rsid w:val="0025194F"/>
    <w:rsid w:val="0026148A"/>
    <w:rsid w:val="00262696"/>
    <w:rsid w:val="00263D25"/>
    <w:rsid w:val="002643C3"/>
    <w:rsid w:val="00264A0C"/>
    <w:rsid w:val="00266EEB"/>
    <w:rsid w:val="00267EF4"/>
    <w:rsid w:val="00270CB8"/>
    <w:rsid w:val="00272B08"/>
    <w:rsid w:val="00277EFB"/>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0AB9"/>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34C1"/>
    <w:rsid w:val="003243CE"/>
    <w:rsid w:val="00324D13"/>
    <w:rsid w:val="00324EDD"/>
    <w:rsid w:val="003331E4"/>
    <w:rsid w:val="00336C64"/>
    <w:rsid w:val="00337162"/>
    <w:rsid w:val="0033726D"/>
    <w:rsid w:val="0034194F"/>
    <w:rsid w:val="00344605"/>
    <w:rsid w:val="003474AA"/>
    <w:rsid w:val="00350D1D"/>
    <w:rsid w:val="003520C3"/>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48A2"/>
    <w:rsid w:val="003B5BF0"/>
    <w:rsid w:val="003B60BF"/>
    <w:rsid w:val="003B6BE3"/>
    <w:rsid w:val="003C010C"/>
    <w:rsid w:val="003C0A6C"/>
    <w:rsid w:val="003C14F8"/>
    <w:rsid w:val="003C5A43"/>
    <w:rsid w:val="003D0519"/>
    <w:rsid w:val="003D0FF6"/>
    <w:rsid w:val="003D262C"/>
    <w:rsid w:val="003D2DF4"/>
    <w:rsid w:val="003D5FC7"/>
    <w:rsid w:val="003D6144"/>
    <w:rsid w:val="003D6D61"/>
    <w:rsid w:val="003E019F"/>
    <w:rsid w:val="003E091D"/>
    <w:rsid w:val="003E1C53"/>
    <w:rsid w:val="003E2A69"/>
    <w:rsid w:val="003E2D49"/>
    <w:rsid w:val="003E2FD4"/>
    <w:rsid w:val="003E49F6"/>
    <w:rsid w:val="003E660F"/>
    <w:rsid w:val="003F0841"/>
    <w:rsid w:val="003F23D3"/>
    <w:rsid w:val="003F3F08"/>
    <w:rsid w:val="003F49F1"/>
    <w:rsid w:val="003F573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26DF"/>
    <w:rsid w:val="00463B77"/>
    <w:rsid w:val="00463C7B"/>
    <w:rsid w:val="004644A6"/>
    <w:rsid w:val="004659BD"/>
    <w:rsid w:val="00470775"/>
    <w:rsid w:val="00471575"/>
    <w:rsid w:val="004746B1"/>
    <w:rsid w:val="0047583F"/>
    <w:rsid w:val="00475DE8"/>
    <w:rsid w:val="00481C44"/>
    <w:rsid w:val="00484936"/>
    <w:rsid w:val="00485C89"/>
    <w:rsid w:val="00486BE3"/>
    <w:rsid w:val="004905E4"/>
    <w:rsid w:val="00490A89"/>
    <w:rsid w:val="00490AB4"/>
    <w:rsid w:val="00492F02"/>
    <w:rsid w:val="004939AE"/>
    <w:rsid w:val="0049605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35EE"/>
    <w:rsid w:val="004D3A23"/>
    <w:rsid w:val="004D4406"/>
    <w:rsid w:val="004D7C42"/>
    <w:rsid w:val="004E0465"/>
    <w:rsid w:val="004E127B"/>
    <w:rsid w:val="004E1C0A"/>
    <w:rsid w:val="004E1D89"/>
    <w:rsid w:val="004E30C5"/>
    <w:rsid w:val="004E4AA5"/>
    <w:rsid w:val="004E4AEE"/>
    <w:rsid w:val="004E59E3"/>
    <w:rsid w:val="004E67C0"/>
    <w:rsid w:val="004E7B8A"/>
    <w:rsid w:val="004F391A"/>
    <w:rsid w:val="004F3CFB"/>
    <w:rsid w:val="004F6456"/>
    <w:rsid w:val="004F696E"/>
    <w:rsid w:val="004F6C71"/>
    <w:rsid w:val="00501139"/>
    <w:rsid w:val="005026C7"/>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15C0"/>
    <w:rsid w:val="00562308"/>
    <w:rsid w:val="0056487B"/>
    <w:rsid w:val="00564FB9"/>
    <w:rsid w:val="00565E17"/>
    <w:rsid w:val="00573D9E"/>
    <w:rsid w:val="005801E3"/>
    <w:rsid w:val="00581802"/>
    <w:rsid w:val="005818EB"/>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0891"/>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3270"/>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0505"/>
    <w:rsid w:val="00722FBF"/>
    <w:rsid w:val="00722FC2"/>
    <w:rsid w:val="00724E1B"/>
    <w:rsid w:val="00725949"/>
    <w:rsid w:val="00727FA2"/>
    <w:rsid w:val="007322D9"/>
    <w:rsid w:val="00732BC0"/>
    <w:rsid w:val="0073720F"/>
    <w:rsid w:val="00737796"/>
    <w:rsid w:val="0074165C"/>
    <w:rsid w:val="00742C35"/>
    <w:rsid w:val="00742CAA"/>
    <w:rsid w:val="007432CA"/>
    <w:rsid w:val="007439EB"/>
    <w:rsid w:val="00743CB4"/>
    <w:rsid w:val="00743F0A"/>
    <w:rsid w:val="007444E8"/>
    <w:rsid w:val="00745034"/>
    <w:rsid w:val="0074548E"/>
    <w:rsid w:val="00745773"/>
    <w:rsid w:val="00746800"/>
    <w:rsid w:val="007501A8"/>
    <w:rsid w:val="00750D61"/>
    <w:rsid w:val="00750EE1"/>
    <w:rsid w:val="00751845"/>
    <w:rsid w:val="00752B4D"/>
    <w:rsid w:val="00755402"/>
    <w:rsid w:val="00756B26"/>
    <w:rsid w:val="00756EDF"/>
    <w:rsid w:val="007600E3"/>
    <w:rsid w:val="00765C43"/>
    <w:rsid w:val="00765EFB"/>
    <w:rsid w:val="007671CA"/>
    <w:rsid w:val="00767C61"/>
    <w:rsid w:val="0077008A"/>
    <w:rsid w:val="00770AED"/>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E6689"/>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4873"/>
    <w:rsid w:val="00836FF3"/>
    <w:rsid w:val="008372F1"/>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0C22"/>
    <w:rsid w:val="008A173B"/>
    <w:rsid w:val="008A1893"/>
    <w:rsid w:val="008A57E6"/>
    <w:rsid w:val="008A6F81"/>
    <w:rsid w:val="008A769A"/>
    <w:rsid w:val="008B0C9C"/>
    <w:rsid w:val="008B166D"/>
    <w:rsid w:val="008B17F4"/>
    <w:rsid w:val="008B2497"/>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04AE"/>
    <w:rsid w:val="00A2165E"/>
    <w:rsid w:val="00A2271D"/>
    <w:rsid w:val="00A237D5"/>
    <w:rsid w:val="00A23C5E"/>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5C7"/>
    <w:rsid w:val="00A70B07"/>
    <w:rsid w:val="00A723F8"/>
    <w:rsid w:val="00A77CCB"/>
    <w:rsid w:val="00A80070"/>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16FF"/>
    <w:rsid w:val="00AC27A6"/>
    <w:rsid w:val="00AC30F7"/>
    <w:rsid w:val="00AC3A5A"/>
    <w:rsid w:val="00AC4D95"/>
    <w:rsid w:val="00AC5DF4"/>
    <w:rsid w:val="00AD0AEF"/>
    <w:rsid w:val="00AD11B7"/>
    <w:rsid w:val="00AD1A94"/>
    <w:rsid w:val="00AD1C05"/>
    <w:rsid w:val="00AD4126"/>
    <w:rsid w:val="00AD421C"/>
    <w:rsid w:val="00AD44FA"/>
    <w:rsid w:val="00AD7030"/>
    <w:rsid w:val="00AE070A"/>
    <w:rsid w:val="00AE101C"/>
    <w:rsid w:val="00AE2A69"/>
    <w:rsid w:val="00AE37E5"/>
    <w:rsid w:val="00AE5EB4"/>
    <w:rsid w:val="00AE6602"/>
    <w:rsid w:val="00AF0C18"/>
    <w:rsid w:val="00AF47C5"/>
    <w:rsid w:val="00AF5398"/>
    <w:rsid w:val="00B033A1"/>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0BE"/>
    <w:rsid w:val="00B4346D"/>
    <w:rsid w:val="00B440F4"/>
    <w:rsid w:val="00B447A5"/>
    <w:rsid w:val="00B4654C"/>
    <w:rsid w:val="00B47293"/>
    <w:rsid w:val="00B50E50"/>
    <w:rsid w:val="00B519DD"/>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1A40"/>
    <w:rsid w:val="00BB5F8F"/>
    <w:rsid w:val="00BB657A"/>
    <w:rsid w:val="00BC1A4E"/>
    <w:rsid w:val="00BC39CA"/>
    <w:rsid w:val="00BC5DC7"/>
    <w:rsid w:val="00BC6B8B"/>
    <w:rsid w:val="00BC73D8"/>
    <w:rsid w:val="00BD52D7"/>
    <w:rsid w:val="00BD59D9"/>
    <w:rsid w:val="00BD5AD2"/>
    <w:rsid w:val="00BE22F3"/>
    <w:rsid w:val="00BE5B52"/>
    <w:rsid w:val="00BE75EC"/>
    <w:rsid w:val="00BE7B8D"/>
    <w:rsid w:val="00BF0993"/>
    <w:rsid w:val="00BF10A9"/>
    <w:rsid w:val="00BF1703"/>
    <w:rsid w:val="00BF231C"/>
    <w:rsid w:val="00BF3A1A"/>
    <w:rsid w:val="00BF51E5"/>
    <w:rsid w:val="00BF74A6"/>
    <w:rsid w:val="00C013AD"/>
    <w:rsid w:val="00C04904"/>
    <w:rsid w:val="00C056B3"/>
    <w:rsid w:val="00C0748F"/>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55D34"/>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7C9"/>
    <w:rsid w:val="00CB2C0B"/>
    <w:rsid w:val="00CB3762"/>
    <w:rsid w:val="00CB426C"/>
    <w:rsid w:val="00CB517D"/>
    <w:rsid w:val="00CB69C3"/>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5A96"/>
    <w:rsid w:val="00D97F99"/>
    <w:rsid w:val="00DA1E08"/>
    <w:rsid w:val="00DA24F8"/>
    <w:rsid w:val="00DA28E8"/>
    <w:rsid w:val="00DA38D3"/>
    <w:rsid w:val="00DA3932"/>
    <w:rsid w:val="00DA3986"/>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2980"/>
    <w:rsid w:val="00E2552F"/>
    <w:rsid w:val="00E3137A"/>
    <w:rsid w:val="00E32CCF"/>
    <w:rsid w:val="00E34A98"/>
    <w:rsid w:val="00E35D1E"/>
    <w:rsid w:val="00E364F9"/>
    <w:rsid w:val="00E365FA"/>
    <w:rsid w:val="00E36789"/>
    <w:rsid w:val="00E37EDC"/>
    <w:rsid w:val="00E44A83"/>
    <w:rsid w:val="00E502C1"/>
    <w:rsid w:val="00E502DD"/>
    <w:rsid w:val="00E50D3A"/>
    <w:rsid w:val="00E51387"/>
    <w:rsid w:val="00E51E68"/>
    <w:rsid w:val="00E52EFD"/>
    <w:rsid w:val="00E5408A"/>
    <w:rsid w:val="00E56800"/>
    <w:rsid w:val="00E60623"/>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1D11"/>
    <w:rsid w:val="00ED2B50"/>
    <w:rsid w:val="00EE0350"/>
    <w:rsid w:val="00EE0719"/>
    <w:rsid w:val="00EE0E80"/>
    <w:rsid w:val="00EE613F"/>
    <w:rsid w:val="00EE7295"/>
    <w:rsid w:val="00EE7869"/>
    <w:rsid w:val="00EF054A"/>
    <w:rsid w:val="00EF3235"/>
    <w:rsid w:val="00EF7E72"/>
    <w:rsid w:val="00F026BD"/>
    <w:rsid w:val="00F03AA5"/>
    <w:rsid w:val="00F06D37"/>
    <w:rsid w:val="00F07B9D"/>
    <w:rsid w:val="00F11586"/>
    <w:rsid w:val="00F1183B"/>
    <w:rsid w:val="00F11C9F"/>
    <w:rsid w:val="00F12263"/>
    <w:rsid w:val="00F1409D"/>
    <w:rsid w:val="00F14214"/>
    <w:rsid w:val="00F157A9"/>
    <w:rsid w:val="00F16F00"/>
    <w:rsid w:val="00F2565E"/>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4FDE"/>
    <w:rsid w:val="00F56511"/>
    <w:rsid w:val="00F6194E"/>
    <w:rsid w:val="00F623AC"/>
    <w:rsid w:val="00F62ED5"/>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051"/>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2A213B"/>
    <w:rsid w:val="0A312DF6"/>
    <w:rsid w:val="0BB10969"/>
    <w:rsid w:val="0C7C1A06"/>
    <w:rsid w:val="0D2A0EFD"/>
    <w:rsid w:val="0F453915"/>
    <w:rsid w:val="16FE6F36"/>
    <w:rsid w:val="1EFD682F"/>
    <w:rsid w:val="375321D8"/>
    <w:rsid w:val="49C635D8"/>
    <w:rsid w:val="60496F20"/>
    <w:rsid w:val="6C257A09"/>
    <w:rsid w:val="79BB6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toc 8"/>
    <w:basedOn w:val="1"/>
    <w:next w:val="1"/>
    <w:unhideWhenUsed/>
    <w:qFormat/>
    <w:uiPriority w:val="39"/>
    <w:pPr>
      <w:adjustRightInd/>
      <w:spacing w:line="240" w:lineRule="auto"/>
      <w:ind w:left="2940" w:leftChars="1400"/>
    </w:pPr>
    <w:rPr>
      <w:rFonts w:asciiTheme="minorHAnsi" w:hAnsiTheme="minorHAnsi" w:eastAsiaTheme="minorEastAsia" w:cstheme="minorBidi"/>
      <w:szCs w:val="22"/>
    </w:rPr>
  </w:style>
  <w:style w:type="paragraph" w:styleId="17">
    <w:name w:val="Balloon Text"/>
    <w:basedOn w:val="1"/>
    <w:link w:val="47"/>
    <w:semiHidden/>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5"/>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oc 9"/>
    <w:basedOn w:val="1"/>
    <w:next w:val="1"/>
    <w:unhideWhenUsed/>
    <w:qFormat/>
    <w:uiPriority w:val="39"/>
    <w:pPr>
      <w:adjustRightInd/>
      <w:spacing w:line="240" w:lineRule="auto"/>
      <w:ind w:left="3360" w:leftChars="1600"/>
    </w:pPr>
    <w:rPr>
      <w:rFonts w:asciiTheme="minorHAnsi" w:hAnsiTheme="minorHAnsi" w:eastAsiaTheme="minorEastAsia" w:cstheme="minorBidi"/>
      <w:szCs w:val="22"/>
    </w:rPr>
  </w:style>
  <w:style w:type="paragraph" w:styleId="27">
    <w:name w:val="Title"/>
    <w:basedOn w:val="1"/>
    <w:link w:val="50"/>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Char"/>
    <w:link w:val="2"/>
    <w:qFormat/>
    <w:uiPriority w:val="0"/>
    <w:rPr>
      <w:b/>
      <w:bCs/>
      <w:kern w:val="44"/>
      <w:sz w:val="44"/>
      <w:szCs w:val="44"/>
    </w:rPr>
  </w:style>
  <w:style w:type="character" w:customStyle="1" w:styleId="37">
    <w:name w:val="标题 2 Char"/>
    <w:link w:val="3"/>
    <w:qFormat/>
    <w:uiPriority w:val="0"/>
    <w:rPr>
      <w:rFonts w:ascii="Arial" w:hAnsi="Arial" w:eastAsia="黑体"/>
      <w:b/>
      <w:bCs/>
      <w:kern w:val="2"/>
      <w:sz w:val="32"/>
      <w:szCs w:val="32"/>
    </w:rPr>
  </w:style>
  <w:style w:type="character" w:customStyle="1" w:styleId="38">
    <w:name w:val="标题 3 Char"/>
    <w:link w:val="4"/>
    <w:qFormat/>
    <w:uiPriority w:val="0"/>
    <w:rPr>
      <w:b/>
      <w:bCs/>
      <w:kern w:val="2"/>
      <w:sz w:val="32"/>
      <w:szCs w:val="32"/>
    </w:rPr>
  </w:style>
  <w:style w:type="character" w:customStyle="1" w:styleId="39">
    <w:name w:val="标题 4 Char"/>
    <w:link w:val="5"/>
    <w:qFormat/>
    <w:uiPriority w:val="0"/>
    <w:rPr>
      <w:rFonts w:ascii="Arial" w:hAnsi="Arial" w:eastAsia="黑体"/>
      <w:b/>
      <w:bCs/>
      <w:kern w:val="2"/>
      <w:sz w:val="28"/>
      <w:szCs w:val="28"/>
    </w:rPr>
  </w:style>
  <w:style w:type="character" w:customStyle="1" w:styleId="40">
    <w:name w:val="标题 5 Char"/>
    <w:link w:val="6"/>
    <w:qFormat/>
    <w:uiPriority w:val="0"/>
    <w:rPr>
      <w:b/>
      <w:bCs/>
      <w:kern w:val="2"/>
      <w:sz w:val="28"/>
      <w:szCs w:val="28"/>
    </w:rPr>
  </w:style>
  <w:style w:type="character" w:customStyle="1" w:styleId="41">
    <w:name w:val="标题 6 Char"/>
    <w:link w:val="7"/>
    <w:qFormat/>
    <w:uiPriority w:val="0"/>
    <w:rPr>
      <w:rFonts w:ascii="Arial" w:hAnsi="Arial" w:eastAsia="黑体"/>
      <w:b/>
      <w:bCs/>
      <w:kern w:val="2"/>
      <w:sz w:val="24"/>
      <w:szCs w:val="24"/>
    </w:rPr>
  </w:style>
  <w:style w:type="character" w:customStyle="1" w:styleId="42">
    <w:name w:val="标题 7 Char"/>
    <w:link w:val="8"/>
    <w:qFormat/>
    <w:uiPriority w:val="0"/>
    <w:rPr>
      <w:b/>
      <w:bCs/>
      <w:kern w:val="2"/>
      <w:sz w:val="24"/>
      <w:szCs w:val="24"/>
    </w:rPr>
  </w:style>
  <w:style w:type="character" w:customStyle="1" w:styleId="43">
    <w:name w:val="标题 8 Char"/>
    <w:link w:val="9"/>
    <w:qFormat/>
    <w:uiPriority w:val="0"/>
    <w:rPr>
      <w:rFonts w:ascii="Arial" w:hAnsi="Arial" w:eastAsia="黑体"/>
      <w:kern w:val="2"/>
      <w:sz w:val="24"/>
      <w:szCs w:val="24"/>
    </w:rPr>
  </w:style>
  <w:style w:type="character" w:customStyle="1" w:styleId="44">
    <w:name w:val="标题 9 Char"/>
    <w:link w:val="10"/>
    <w:qFormat/>
    <w:uiPriority w:val="0"/>
    <w:rPr>
      <w:rFonts w:ascii="Arial" w:hAnsi="Arial" w:eastAsia="黑体"/>
      <w:kern w:val="2"/>
      <w:sz w:val="21"/>
      <w:szCs w:val="21"/>
    </w:rPr>
  </w:style>
  <w:style w:type="character" w:customStyle="1" w:styleId="45">
    <w:name w:val="页眉 Char"/>
    <w:link w:val="19"/>
    <w:qFormat/>
    <w:uiPriority w:val="99"/>
    <w:rPr>
      <w:kern w:val="2"/>
      <w:sz w:val="18"/>
      <w:szCs w:val="18"/>
    </w:rPr>
  </w:style>
  <w:style w:type="character" w:customStyle="1" w:styleId="46">
    <w:name w:val="页脚 Char"/>
    <w:link w:val="18"/>
    <w:qFormat/>
    <w:uiPriority w:val="99"/>
    <w:rPr>
      <w:rFonts w:ascii="宋体"/>
      <w:kern w:val="2"/>
      <w:sz w:val="18"/>
      <w:szCs w:val="18"/>
    </w:rPr>
  </w:style>
  <w:style w:type="character" w:customStyle="1" w:styleId="47">
    <w:name w:val="批注框文本 Char"/>
    <w:link w:val="17"/>
    <w:semiHidden/>
    <w:qFormat/>
    <w:uiPriority w:val="99"/>
    <w:rPr>
      <w:kern w:val="2"/>
      <w:sz w:val="18"/>
      <w:szCs w:val="18"/>
    </w:rPr>
  </w:style>
  <w:style w:type="paragraph" w:styleId="48">
    <w:name w:val="Quote"/>
    <w:basedOn w:val="1"/>
    <w:next w:val="1"/>
    <w:link w:val="49"/>
    <w:qFormat/>
    <w:uiPriority w:val="29"/>
    <w:rPr>
      <w:i/>
      <w:iCs/>
      <w:color w:val="000000"/>
    </w:rPr>
  </w:style>
  <w:style w:type="character" w:customStyle="1" w:styleId="49">
    <w:name w:val="引用 Char"/>
    <w:link w:val="48"/>
    <w:qFormat/>
    <w:uiPriority w:val="29"/>
    <w:rPr>
      <w:i/>
      <w:iCs/>
      <w:color w:val="000000"/>
      <w:kern w:val="2"/>
      <w:sz w:val="21"/>
      <w:szCs w:val="21"/>
    </w:rPr>
  </w:style>
  <w:style w:type="character" w:customStyle="1" w:styleId="50">
    <w:name w:val="标题 Char"/>
    <w:link w:val="27"/>
    <w:qFormat/>
    <w:uiPriority w:val="0"/>
    <w:rPr>
      <w:rFonts w:ascii="Arial" w:hAnsi="Arial" w:cs="Arial"/>
      <w:b/>
      <w:bCs/>
      <w:kern w:val="2"/>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Char"/>
    <w:link w:val="13"/>
    <w:qFormat/>
    <w:uiPriority w:val="0"/>
    <w:rPr>
      <w:kern w:val="2"/>
      <w:sz w:val="21"/>
      <w:szCs w:val="21"/>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ind w:left="0" w:firstLine="0"/>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pPr>
  </w:style>
  <w:style w:type="paragraph" w:customStyle="1" w:styleId="96">
    <w:name w:val="标准文件_三级条标题"/>
    <w:basedOn w:val="67"/>
    <w:next w:val="58"/>
    <w:qFormat/>
    <w:uiPriority w:val="0"/>
    <w:pPr>
      <w:widowControl/>
      <w:numPr>
        <w:ilvl w:val="4"/>
      </w:numPr>
      <w:ind w:left="0"/>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Char"/>
    <w:link w:val="22"/>
    <w:semiHidden/>
    <w:qFormat/>
    <w:uiPriority w:val="0"/>
    <w:rPr>
      <w:rFonts w:ascii="宋体"/>
      <w:kern w:val="2"/>
      <w:sz w:val="18"/>
      <w:szCs w:val="18"/>
    </w:rPr>
  </w:style>
  <w:style w:type="paragraph" w:customStyle="1" w:styleId="102">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numPr>
        <w:ilvl w:val="1"/>
        <w:numId w:val="21"/>
      </w:numPr>
      <w:ind w:firstLine="0" w:firstLineChars="0"/>
    </w:pPr>
  </w:style>
  <w:style w:type="paragraph" w:customStyle="1" w:styleId="190">
    <w:name w:val="标准文件_三级项2"/>
    <w:basedOn w:val="58"/>
    <w:qFormat/>
    <w:uiPriority w:val="0"/>
    <w:pPr>
      <w:numPr>
        <w:ilvl w:val="0"/>
        <w:numId w:val="30"/>
      </w:numPr>
      <w:spacing w:line="300" w:lineRule="exact"/>
      <w:ind w:firstLineChars="0"/>
    </w:pPr>
    <w:rPr>
      <w:rFonts w:ascii="Times New Roman"/>
    </w:rPr>
  </w:style>
  <w:style w:type="paragraph" w:customStyle="1" w:styleId="191">
    <w:name w:val="标准文件_一级项2"/>
    <w:basedOn w:val="58"/>
    <w:qFormat/>
    <w:uiPriority w:val="0"/>
    <w:pPr>
      <w:numPr>
        <w:ilvl w:val="0"/>
        <w:numId w:val="31"/>
      </w:numPr>
      <w:spacing w:line="300" w:lineRule="exact"/>
      <w:ind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frame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qFormat/>
    <w:uiPriority w:val="0"/>
    <w:rPr>
      <w:rFonts w:ascii="黑体" w:eastAsia="黑体"/>
      <w:spacing w:val="85"/>
      <w:w w:val="100"/>
      <w:position w:val="3"/>
      <w:sz w:val="28"/>
      <w:szCs w:val="28"/>
    </w:rPr>
  </w:style>
  <w:style w:type="paragraph" w:customStyle="1" w:styleId="232">
    <w:name w:val="TOC1"/>
    <w:basedOn w:val="1"/>
    <w:next w:val="1"/>
    <w:qFormat/>
    <w:uiPriority w:val="0"/>
    <w:pPr>
      <w:adjustRightInd/>
      <w:spacing w:line="240" w:lineRule="auto"/>
    </w:pPr>
    <w:rPr>
      <w:rFonts w:ascii="Times New Roman" w:hAnsi="Times New Roman"/>
    </w:rPr>
  </w:style>
  <w:style w:type="character" w:customStyle="1" w:styleId="233">
    <w:name w:val="15"/>
    <w:basedOn w:val="30"/>
    <w:qFormat/>
    <w:uiPriority w:val="0"/>
    <w:rPr>
      <w:rFonts w:hint="default" w:ascii="Times New Roman" w:hAnsi="Times New Roman" w:cs="Times New Roman"/>
      <w:sz w:val="21"/>
      <w:szCs w:val="21"/>
    </w:rPr>
  </w:style>
  <w:style w:type="paragraph" w:customStyle="1" w:styleId="234">
    <w:name w:val="修订1"/>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E9F7FBFAC5C45879CFF4D7B8DB85508"/>
        <w:style w:val=""/>
        <w:category>
          <w:name w:val="常规"/>
          <w:gallery w:val="placeholder"/>
        </w:category>
        <w:types>
          <w:type w:val="bbPlcHdr"/>
        </w:types>
        <w:behaviors>
          <w:behavior w:val="content"/>
        </w:behaviors>
        <w:description w:val=""/>
        <w:guid w:val="{A2165A15-FEC6-4EDC-BC87-D784367143F6}"/>
      </w:docPartPr>
      <w:docPartBody>
        <w:p>
          <w:pPr>
            <w:pStyle w:val="5"/>
          </w:pPr>
          <w:r>
            <w:rPr>
              <w:rStyle w:val="4"/>
              <w:rFonts w:hint="eastAsia"/>
            </w:rPr>
            <w:t>单击或点击此处输入文字。</w:t>
          </w:r>
        </w:p>
      </w:docPartBody>
    </w:docPart>
    <w:docPart>
      <w:docPartPr>
        <w:name w:val="7650E752C83840BEB39DCFE63818E96E"/>
        <w:style w:val=""/>
        <w:category>
          <w:name w:val="常规"/>
          <w:gallery w:val="placeholder"/>
        </w:category>
        <w:types>
          <w:type w:val="bbPlcHdr"/>
        </w:types>
        <w:behaviors>
          <w:behavior w:val="content"/>
        </w:behaviors>
        <w:description w:val=""/>
        <w:guid w:val="{A8EDA403-76C8-4DEA-8CCB-5676A51C3C58}"/>
      </w:docPartPr>
      <w:docPartBody>
        <w:p>
          <w:pPr>
            <w:pStyle w:val="6"/>
          </w:pPr>
          <w:r>
            <w:rPr>
              <w:rStyle w:val="4"/>
              <w:rFonts w:hint="eastAsia"/>
            </w:rPr>
            <w:t>选择一项。</w:t>
          </w:r>
        </w:p>
      </w:docPartBody>
    </w:docPart>
    <w:docPart>
      <w:docPartPr>
        <w:name w:val="DA049B436DDF451ABC7F9743B9393A1C"/>
        <w:style w:val=""/>
        <w:category>
          <w:name w:val="常规"/>
          <w:gallery w:val="placeholder"/>
        </w:category>
        <w:types>
          <w:type w:val="bbPlcHdr"/>
        </w:types>
        <w:behaviors>
          <w:behavior w:val="content"/>
        </w:behaviors>
        <w:description w:val=""/>
        <w:guid w:val="{45167EE5-A959-4233-AFB8-C9DC7E372ED6}"/>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71A"/>
    <w:rsid w:val="00102397"/>
    <w:rsid w:val="0013071A"/>
    <w:rsid w:val="003B343B"/>
    <w:rsid w:val="00515D57"/>
    <w:rsid w:val="005A01B1"/>
    <w:rsid w:val="00602D61"/>
    <w:rsid w:val="00674987"/>
    <w:rsid w:val="007413E0"/>
    <w:rsid w:val="0083303F"/>
    <w:rsid w:val="009345AD"/>
    <w:rsid w:val="00B70FA4"/>
    <w:rsid w:val="00BB09CD"/>
    <w:rsid w:val="00CC502E"/>
    <w:rsid w:val="00F6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E9F7FBFAC5C45879CFF4D7B8DB8550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650E752C83840BEB39DCFE63818E96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A049B436DDF451ABC7F9743B9393A1C"/>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16C852-F7E6-4A68-BBA3-DB1B4A652EA9}">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14</Pages>
  <Words>1822</Words>
  <Characters>10390</Characters>
  <Lines>86</Lines>
  <Paragraphs>24</Paragraphs>
  <TotalTime>73</TotalTime>
  <ScaleCrop>false</ScaleCrop>
  <LinksUpToDate>false</LinksUpToDate>
  <CharactersWithSpaces>12188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2023-12-01T08:06:00Z</dcterms:created>
  <dc:creator>PC</dc:creator>
  <dc:description>&lt;config cover="true" show_menu="true" version="1.0.0" doctype="SDKXY"&gt;_x000d_
&lt;/config&gt;</dc:description>
  <cp:lastModifiedBy>王多多</cp:lastModifiedBy>
  <cp:lastPrinted>2021-02-02T08:22:00Z</cp:lastPrinted>
  <dcterms:modified xsi:type="dcterms:W3CDTF">2023-12-21T05:59:02Z</dcterms:modified>
  <dc:title>团体标准</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2052-12.1.0.15990</vt:lpwstr>
  </property>
  <property fmtid="{D5CDD505-2E9C-101B-9397-08002B2CF9AE}" pid="15" name="ICV">
    <vt:lpwstr>7F233A68BFE546E7B9EE4568B2E4E929_12</vt:lpwstr>
  </property>
</Properties>
</file>